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38FB" w14:textId="77777777" w:rsidR="0052651E" w:rsidRPr="00BF61CF" w:rsidRDefault="0052651E" w:rsidP="005265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Godišnje </w:t>
      </w:r>
      <w:r w:rsidR="00F123FE"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zvješće </w:t>
      </w:r>
    </w:p>
    <w:p w14:paraId="6FD3BCBD" w14:textId="3C02D996" w:rsidR="0052651E" w:rsidRPr="00BF61CF" w:rsidRDefault="0052651E" w:rsidP="005265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ugovorima o javnim usluga</w:t>
      </w:r>
      <w:r w:rsidR="00F123FE"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</w:t>
      </w:r>
      <w:r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željezničkom putničkom prijevozu Republike Hrvatske za </w:t>
      </w:r>
      <w:r w:rsidR="008D4FDC"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7E75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BF61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8FC8A69" w14:textId="77777777" w:rsidR="0052651E" w:rsidRPr="00BF61CF" w:rsidRDefault="0052651E" w:rsidP="0052651E">
      <w:pPr>
        <w:rPr>
          <w:rFonts w:ascii="Times New Roman" w:hAnsi="Times New Roman" w:cs="Times New Roman"/>
          <w:sz w:val="24"/>
          <w:szCs w:val="24"/>
        </w:rPr>
      </w:pPr>
    </w:p>
    <w:p w14:paraId="7B569969" w14:textId="77777777" w:rsidR="0052651E" w:rsidRPr="00BF61CF" w:rsidRDefault="0038711D" w:rsidP="00526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</w:t>
      </w:r>
      <w:r w:rsidR="00F123F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emelj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Uredbe (EZ) br. 1370/2007 o uslugama javnog željezničkog i cestovnog prijevoza putnika i stavljanju izvan snage uredaba Vijeća (EEZ) br. 1191/69 i (EEZ) 1107/70 kako je izmijenjena i dopunjena Uredbom (EU) 2016/2338 Europskog parlamenta i Vijeća od 14. prosinca 2016. o izmjeni Uredbe (EZ) br. 1370/2007 u pogledu otvaranja tržišta za usluge domaćeg željezničkog prijevoza putnika (Tekst značajan za EGP ) (SL L 354, 23.12.2016.) (u daljnjem tekstu</w:t>
      </w:r>
      <w:r w:rsidR="00221C0B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Uredba (EZ) br. 1370/2007)</w:t>
      </w:r>
      <w:r w:rsidR="00221C0B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Ministarstvo mora, prometa i infrastrukture ima obvezu sukladno članku 7. Uredbe (EZ) br. 1370/2007</w:t>
      </w:r>
      <w:r w:rsidR="005F62C6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</w:t>
      </w:r>
      <w:r w:rsidR="00785161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3863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odišnje izvješć</w:t>
      </w:r>
      <w:r w:rsidR="00785161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napretku potpisanog Ugovora o javnim uslugama za usluge od općeg gospodarskog interesa u javnom željezničkom prijevozu u Republici Hrvatskoj i </w:t>
      </w:r>
      <w:r w:rsidR="00785161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govorenih obveza pružanja javnih usluga od općeg gospodarskog interesa u javnom željezničkom prijevozu u Republici Hrvatskoj za usluge od općeg gospodarskog interesa u javnom željezničkom prijevozu. </w:t>
      </w:r>
    </w:p>
    <w:p w14:paraId="444844FC" w14:textId="77777777" w:rsidR="00221C0B" w:rsidRPr="00BF61CF" w:rsidRDefault="00221C0B" w:rsidP="004912B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8B4A7F" w14:textId="77777777" w:rsidR="0052651E" w:rsidRPr="00BF61CF" w:rsidRDefault="0052651E" w:rsidP="005E09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Dana 21. prosinca 2018. godine potpisan je Ugovor br. 1/2019/DP-HŽPP o javnim uslugama za usluge od općeg gospodarskog interesa u javnom željezničkom prijevozu u Republici Hrvatskoj između Republike Hrvatske, Ministarstva mora, prometa i infrastrukture i društva HŽ Putnički prijevoz d.o.o. za prijevoz putnika za razdoblje od 01. siječnja 2019. do 31. prosinca 2028. godine (u daljnjem tekstu: Ugovo</w:t>
      </w:r>
      <w:r w:rsidR="00A2180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 br. 1/2019/DP-HŽPP).  </w:t>
      </w:r>
      <w:r w:rsidR="00F123F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8. stav</w:t>
      </w:r>
      <w:r w:rsidR="00785161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2a Uredbe</w:t>
      </w:r>
      <w:r w:rsidR="00785161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(EZ) br.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1370/2007 recast, Ugovor br. 1/2019/DP-HŽPP je izravno dodijeljen, budući da je sklopljen u periodu između 24. prosinca 2017. godine i 2. prosinca 2019. godine. O izravnom sklapanju Ugovora br. </w:t>
      </w:r>
      <w:r w:rsidR="00A2180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1/2019/DP-HŽPP između </w:t>
      </w:r>
      <w:r w:rsidR="00A60CE2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Republike Hrvatske, </w:t>
      </w:r>
      <w:r w:rsidR="00F123F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Ministarstva 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mora, prometa i infrastrukture i društva HŽ Putnički prijevoz d.o.o. dana 31.</w:t>
      </w:r>
      <w:r w:rsidR="00F123F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 2018. godine sukladno članku 5. stav</w:t>
      </w:r>
      <w:r w:rsidR="00785161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="00A60CE2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4a Uredbe (EZ) br. 1370/2007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obavještena je Europska komisija, Glavna uprava za tržišno natjecanje i Glavno tajništvo Europske komisije te je objavljena informacija o navedenom na službenim stranicama Ministarstva.   </w:t>
      </w:r>
    </w:p>
    <w:p w14:paraId="31B5A089" w14:textId="77777777" w:rsidR="0052651E" w:rsidRPr="00BF61CF" w:rsidRDefault="0052651E" w:rsidP="004912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DC7CAA" w14:textId="77777777" w:rsidR="0052651E" w:rsidRPr="00BF61CF" w:rsidRDefault="0052651E" w:rsidP="0052651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</w:rPr>
        <w:t>Ugovorne stranke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60CE2" w:rsidRPr="00BF61CF">
        <w:rPr>
          <w:rFonts w:ascii="Times New Roman" w:eastAsia="Calibri" w:hAnsi="Times New Roman" w:cs="Times New Roman"/>
          <w:sz w:val="24"/>
          <w:szCs w:val="24"/>
        </w:rPr>
        <w:t xml:space="preserve">Republika Hrvatska, </w:t>
      </w:r>
      <w:r w:rsidRPr="00BF61CF">
        <w:rPr>
          <w:rFonts w:ascii="Times New Roman" w:eastAsia="Calibri" w:hAnsi="Times New Roman" w:cs="Times New Roman"/>
          <w:sz w:val="24"/>
          <w:szCs w:val="24"/>
        </w:rPr>
        <w:t>Ministarstvo mora, prometa i infrastrukture, Prisavlje 14, 10000 Zagreb</w:t>
      </w:r>
      <w:r w:rsidR="00785161" w:rsidRPr="00BF61CF">
        <w:rPr>
          <w:rFonts w:ascii="Times New Roman" w:eastAsia="Calibri" w:hAnsi="Times New Roman" w:cs="Times New Roman"/>
          <w:sz w:val="24"/>
          <w:szCs w:val="24"/>
        </w:rPr>
        <w:t>,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koje zastupa ministar g. Oleg Butković i trgovačko društvo HŽ Putnički prijevoz</w:t>
      </w:r>
      <w:r w:rsidR="004254E5" w:rsidRPr="00BF61CF">
        <w:rPr>
          <w:rFonts w:ascii="Times New Roman" w:eastAsia="Calibri" w:hAnsi="Times New Roman" w:cs="Times New Roman"/>
          <w:sz w:val="24"/>
          <w:szCs w:val="24"/>
        </w:rPr>
        <w:t>,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54E5" w:rsidRPr="00BF61CF">
        <w:rPr>
          <w:rFonts w:ascii="Times New Roman" w:eastAsia="Calibri" w:hAnsi="Times New Roman" w:cs="Times New Roman"/>
          <w:sz w:val="24"/>
          <w:szCs w:val="24"/>
        </w:rPr>
        <w:t>društvo s ograničenom odgovornošću,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Strojarska cesta 11, 10000 Zagreb</w:t>
      </w:r>
      <w:r w:rsidR="00785161" w:rsidRPr="00BF61CF">
        <w:rPr>
          <w:rFonts w:ascii="Times New Roman" w:eastAsia="Calibri" w:hAnsi="Times New Roman" w:cs="Times New Roman"/>
          <w:sz w:val="24"/>
          <w:szCs w:val="24"/>
        </w:rPr>
        <w:t>,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koje zastupa predsjednik Uprave g. Željko Ukić</w:t>
      </w:r>
      <w:r w:rsidR="00DF137E" w:rsidRPr="00BF61CF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="00E327C9" w:rsidRPr="00BF61CF">
        <w:rPr>
          <w:rFonts w:ascii="Times New Roman" w:eastAsia="Calibri" w:hAnsi="Times New Roman" w:cs="Times New Roman"/>
          <w:sz w:val="24"/>
          <w:szCs w:val="24"/>
        </w:rPr>
        <w:t xml:space="preserve">članovi Uprave </w:t>
      </w:r>
      <w:r w:rsidR="003E735E" w:rsidRPr="00BF61CF">
        <w:rPr>
          <w:rFonts w:ascii="Times New Roman" w:eastAsia="Calibri" w:hAnsi="Times New Roman" w:cs="Times New Roman"/>
          <w:sz w:val="24"/>
          <w:szCs w:val="24"/>
        </w:rPr>
        <w:t xml:space="preserve">g. </w:t>
      </w:r>
      <w:r w:rsidR="00E327C9" w:rsidRPr="00BF61CF">
        <w:rPr>
          <w:rFonts w:ascii="Times New Roman" w:eastAsia="Calibri" w:hAnsi="Times New Roman" w:cs="Times New Roman"/>
          <w:sz w:val="24"/>
          <w:szCs w:val="24"/>
        </w:rPr>
        <w:t xml:space="preserve">Damir Rubčić i </w:t>
      </w:r>
      <w:r w:rsidR="003E735E" w:rsidRPr="00BF61CF">
        <w:rPr>
          <w:rFonts w:ascii="Times New Roman" w:eastAsia="Calibri" w:hAnsi="Times New Roman" w:cs="Times New Roman"/>
          <w:sz w:val="24"/>
          <w:szCs w:val="24"/>
        </w:rPr>
        <w:t xml:space="preserve">g. </w:t>
      </w:r>
      <w:r w:rsidR="00E327C9" w:rsidRPr="00BF61CF">
        <w:rPr>
          <w:rFonts w:ascii="Times New Roman" w:eastAsia="Calibri" w:hAnsi="Times New Roman" w:cs="Times New Roman"/>
          <w:sz w:val="24"/>
          <w:szCs w:val="24"/>
        </w:rPr>
        <w:t>Mario Zubak</w:t>
      </w:r>
      <w:r w:rsidR="004254E5" w:rsidRPr="00BF61CF">
        <w:rPr>
          <w:rFonts w:ascii="Times New Roman" w:eastAsia="Calibri" w:hAnsi="Times New Roman" w:cs="Times New Roman"/>
          <w:sz w:val="24"/>
          <w:szCs w:val="24"/>
        </w:rPr>
        <w:t>, za pružanje usluga željezničkog putničkog prijevoza.</w:t>
      </w:r>
    </w:p>
    <w:p w14:paraId="68A757E1" w14:textId="77777777" w:rsidR="0052651E" w:rsidRPr="00BF61CF" w:rsidRDefault="0052651E" w:rsidP="0052651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Vlasništvo: </w:t>
      </w:r>
      <w:r w:rsidRPr="00BF61CF">
        <w:rPr>
          <w:rFonts w:ascii="Times New Roman" w:eastAsia="Calibri" w:hAnsi="Times New Roman" w:cs="Times New Roman"/>
          <w:sz w:val="24"/>
          <w:szCs w:val="24"/>
        </w:rPr>
        <w:t>100%</w:t>
      </w:r>
      <w:r w:rsidRPr="00BF61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61CF">
        <w:rPr>
          <w:rFonts w:ascii="Times New Roman" w:eastAsia="Calibri" w:hAnsi="Times New Roman" w:cs="Times New Roman"/>
          <w:sz w:val="24"/>
          <w:szCs w:val="24"/>
        </w:rPr>
        <w:t>vlasnik</w:t>
      </w:r>
      <w:r w:rsidR="00A45E28" w:rsidRPr="00BF61CF">
        <w:rPr>
          <w:rFonts w:ascii="Times New Roman" w:eastAsia="Calibri" w:hAnsi="Times New Roman" w:cs="Times New Roman"/>
          <w:sz w:val="24"/>
          <w:szCs w:val="24"/>
        </w:rPr>
        <w:t xml:space="preserve"> društva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HŽ Putničk</w:t>
      </w:r>
      <w:r w:rsidR="00A45E28" w:rsidRPr="00BF61CF">
        <w:rPr>
          <w:rFonts w:ascii="Times New Roman" w:eastAsia="Calibri" w:hAnsi="Times New Roman" w:cs="Times New Roman"/>
          <w:sz w:val="24"/>
          <w:szCs w:val="24"/>
        </w:rPr>
        <w:t>i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prijevoz d.o.o. je</w:t>
      </w:r>
      <w:r w:rsidRPr="00BF61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61CF">
        <w:rPr>
          <w:rFonts w:ascii="Times New Roman" w:eastAsia="Calibri" w:hAnsi="Times New Roman" w:cs="Times New Roman"/>
          <w:sz w:val="24"/>
          <w:szCs w:val="24"/>
        </w:rPr>
        <w:t>Republika Hrvatska</w:t>
      </w:r>
      <w:r w:rsidR="000973FE" w:rsidRPr="00BF61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E32F92" w14:textId="77777777" w:rsidR="0052651E" w:rsidRPr="00BF61CF" w:rsidRDefault="0052651E" w:rsidP="0052651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</w:rPr>
        <w:t>Stranka koja obavlja zakonski nadzor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: Nadzor nad Ugovorom obavlja Ministarstvo </w:t>
      </w:r>
      <w:r w:rsidR="00A2180E" w:rsidRPr="00BF61CF">
        <w:rPr>
          <w:rFonts w:ascii="Times New Roman" w:eastAsia="Calibri" w:hAnsi="Times New Roman" w:cs="Times New Roman"/>
          <w:sz w:val="24"/>
          <w:szCs w:val="24"/>
        </w:rPr>
        <w:t>mora, prometa i infrastrukture</w:t>
      </w:r>
      <w:r w:rsidR="000973FE" w:rsidRPr="00BF61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A4F645" w14:textId="77777777" w:rsidR="0052651E" w:rsidRPr="00BF61CF" w:rsidRDefault="0052651E" w:rsidP="004912BF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85CDA" w14:textId="77777777" w:rsidR="0052651E" w:rsidRPr="00BF61CF" w:rsidRDefault="0052651E" w:rsidP="0052651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</w:rPr>
        <w:t>Trajanje ugovora o javnim uslugama</w:t>
      </w:r>
      <w:r w:rsidRPr="00BF61CF">
        <w:rPr>
          <w:rFonts w:ascii="Times New Roman" w:eastAsia="Calibri" w:hAnsi="Times New Roman" w:cs="Times New Roman"/>
          <w:sz w:val="24"/>
          <w:szCs w:val="24"/>
        </w:rPr>
        <w:t>: Ugovor o javnim uslugama za usluge od općeg gospodarskog interesa u javnom željezničkom prijevozu u Republici Hrvatskoj za razdoblje od 2019. do 2028. godine sklopljen</w:t>
      </w:r>
      <w:r w:rsidR="005772DD" w:rsidRPr="00BF61CF">
        <w:rPr>
          <w:rFonts w:ascii="Times New Roman" w:eastAsia="Calibri" w:hAnsi="Times New Roman" w:cs="Times New Roman"/>
          <w:sz w:val="24"/>
          <w:szCs w:val="24"/>
        </w:rPr>
        <w:t xml:space="preserve"> je na 10 godina,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za razdoblje od 1.</w:t>
      </w:r>
      <w:r w:rsidR="00C57624"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006B" w:rsidRPr="00BF61CF">
        <w:rPr>
          <w:rFonts w:ascii="Times New Roman" w:eastAsia="Calibri" w:hAnsi="Times New Roman" w:cs="Times New Roman"/>
          <w:sz w:val="24"/>
          <w:szCs w:val="24"/>
        </w:rPr>
        <w:t>siječnja</w:t>
      </w:r>
      <w:r w:rsidR="00C57624"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61CF">
        <w:rPr>
          <w:rFonts w:ascii="Times New Roman" w:eastAsia="Calibri" w:hAnsi="Times New Roman" w:cs="Times New Roman"/>
          <w:sz w:val="24"/>
          <w:szCs w:val="24"/>
        </w:rPr>
        <w:t>2019. do 31.</w:t>
      </w:r>
      <w:r w:rsidR="00C57624"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006B" w:rsidRPr="00BF61CF">
        <w:rPr>
          <w:rFonts w:ascii="Times New Roman" w:eastAsia="Calibri" w:hAnsi="Times New Roman" w:cs="Times New Roman"/>
          <w:sz w:val="24"/>
          <w:szCs w:val="24"/>
        </w:rPr>
        <w:t xml:space="preserve">prosinca </w:t>
      </w:r>
      <w:r w:rsidRPr="00BF61CF">
        <w:rPr>
          <w:rFonts w:ascii="Times New Roman" w:eastAsia="Calibri" w:hAnsi="Times New Roman" w:cs="Times New Roman"/>
          <w:sz w:val="24"/>
          <w:szCs w:val="24"/>
        </w:rPr>
        <w:t>2028. godine</w:t>
      </w:r>
      <w:r w:rsidR="000973FE" w:rsidRPr="00BF61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5F0257" w14:textId="77777777" w:rsidR="0052651E" w:rsidRPr="00BF61CF" w:rsidRDefault="0052651E" w:rsidP="004912B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3FEAE" w14:textId="01CFD917" w:rsidR="0052651E" w:rsidRPr="00EC1456" w:rsidRDefault="0052651E" w:rsidP="00DD38D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</w:rPr>
        <w:t>Opis usluga prijevoza putnika koje će se obavljati</w:t>
      </w:r>
      <w:r w:rsidRPr="00BF61CF">
        <w:rPr>
          <w:rFonts w:ascii="Times New Roman" w:eastAsia="Calibri" w:hAnsi="Times New Roman" w:cs="Times New Roman"/>
          <w:sz w:val="24"/>
          <w:szCs w:val="24"/>
        </w:rPr>
        <w:t>: Predmet ovog Ugovora je pružanje usluge od općeg gospodarskog interesa u javnom željezničkom prijevozu putnika u Republici Hrvatskoj od strane Pružatelja usluge, tj. društva HŽ Putnički prijevoz d.o.o. i ugovorna naknada od strane Ministarstva mora, prometa i infrastrukture koju prima Pružatelj usluge za obavljanje usluge od općeg gospodarskog interesa. U sklopu pružanja usluge prijevoza</w:t>
      </w:r>
      <w:r w:rsidR="00A75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7AD">
        <w:rPr>
          <w:rFonts w:ascii="Times New Roman" w:eastAsia="Calibri" w:hAnsi="Times New Roman" w:cs="Times New Roman"/>
          <w:sz w:val="24"/>
          <w:szCs w:val="24"/>
        </w:rPr>
        <w:t>klimatizirano je</w:t>
      </w:r>
      <w:r w:rsidR="000A1BB2"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033A" w:rsidRPr="00DD38DF">
        <w:rPr>
          <w:rFonts w:ascii="Times New Roman" w:eastAsia="Calibri" w:hAnsi="Times New Roman" w:cs="Times New Roman"/>
          <w:sz w:val="24"/>
          <w:szCs w:val="24"/>
        </w:rPr>
        <w:t>86,19</w:t>
      </w:r>
      <w:r w:rsidR="00D9246D" w:rsidRPr="00DD38DF">
        <w:rPr>
          <w:rFonts w:ascii="Times New Roman" w:eastAsia="Calibri" w:hAnsi="Times New Roman" w:cs="Times New Roman"/>
          <w:sz w:val="24"/>
          <w:szCs w:val="24"/>
        </w:rPr>
        <w:t>%</w:t>
      </w:r>
      <w:r w:rsidRPr="00DD38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61CF">
        <w:rPr>
          <w:rFonts w:ascii="Times New Roman" w:eastAsia="Calibri" w:hAnsi="Times New Roman" w:cs="Times New Roman"/>
          <w:sz w:val="24"/>
          <w:szCs w:val="24"/>
        </w:rPr>
        <w:t>putničkog prostora</w:t>
      </w:r>
      <w:r w:rsidR="00396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DCE">
        <w:rPr>
          <w:rFonts w:ascii="Times New Roman" w:eastAsia="Calibri" w:hAnsi="Times New Roman" w:cs="Times New Roman"/>
          <w:sz w:val="24"/>
          <w:szCs w:val="24"/>
        </w:rPr>
        <w:t>aktivnih ž</w:t>
      </w:r>
      <w:r w:rsidR="00600FF9">
        <w:rPr>
          <w:rFonts w:ascii="Times New Roman" w:eastAsia="Calibri" w:hAnsi="Times New Roman" w:cs="Times New Roman"/>
          <w:sz w:val="24"/>
          <w:szCs w:val="24"/>
        </w:rPr>
        <w:t>eljezničkih vozila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, kod </w:t>
      </w:r>
      <w:r w:rsidR="00D658E7" w:rsidRPr="00DD38DF">
        <w:rPr>
          <w:rFonts w:ascii="Times New Roman" w:eastAsia="Calibri" w:hAnsi="Times New Roman" w:cs="Times New Roman"/>
          <w:sz w:val="24"/>
          <w:szCs w:val="24"/>
        </w:rPr>
        <w:t>26</w:t>
      </w:r>
      <w:r w:rsidR="00FA102A" w:rsidRPr="00DD38DF">
        <w:rPr>
          <w:rFonts w:ascii="Times New Roman" w:eastAsia="Calibri" w:hAnsi="Times New Roman" w:cs="Times New Roman"/>
          <w:sz w:val="24"/>
          <w:szCs w:val="24"/>
        </w:rPr>
        <w:t>,</w:t>
      </w:r>
      <w:r w:rsidR="00D658E7" w:rsidRPr="00DD38DF">
        <w:rPr>
          <w:rFonts w:ascii="Times New Roman" w:eastAsia="Calibri" w:hAnsi="Times New Roman" w:cs="Times New Roman"/>
          <w:sz w:val="24"/>
          <w:szCs w:val="24"/>
        </w:rPr>
        <w:t>12</w:t>
      </w:r>
      <w:r w:rsidRPr="00DD38DF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A1273">
        <w:rPr>
          <w:rFonts w:ascii="Times New Roman" w:eastAsia="Calibri" w:hAnsi="Times New Roman" w:cs="Times New Roman"/>
          <w:sz w:val="24"/>
          <w:szCs w:val="24"/>
        </w:rPr>
        <w:t>je</w:t>
      </w:r>
      <w:r w:rsidR="00AA1273"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osigurana internetska usluga dok je </w:t>
      </w:r>
      <w:r w:rsidR="000A1BB2" w:rsidRPr="00BF61CF">
        <w:rPr>
          <w:rFonts w:ascii="Times New Roman" w:eastAsia="Calibri" w:hAnsi="Times New Roman" w:cs="Times New Roman"/>
          <w:sz w:val="24"/>
          <w:szCs w:val="24"/>
        </w:rPr>
        <w:t>kod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46D" w:rsidRPr="00DD38DF">
        <w:rPr>
          <w:rFonts w:ascii="Times New Roman" w:eastAsia="Calibri" w:hAnsi="Times New Roman" w:cs="Times New Roman"/>
          <w:sz w:val="24"/>
          <w:szCs w:val="24"/>
        </w:rPr>
        <w:t>30</w:t>
      </w:r>
      <w:r w:rsidR="00E26E2D" w:rsidRPr="00DD38DF">
        <w:rPr>
          <w:rFonts w:ascii="Times New Roman" w:eastAsia="Calibri" w:hAnsi="Times New Roman" w:cs="Times New Roman"/>
          <w:sz w:val="24"/>
          <w:szCs w:val="24"/>
        </w:rPr>
        <w:t>,97</w:t>
      </w:r>
      <w:r w:rsidRPr="00DD38DF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0A1BB2" w:rsidRPr="00BF61CF">
        <w:rPr>
          <w:rFonts w:ascii="Times New Roman" w:eastAsia="Calibri" w:hAnsi="Times New Roman" w:cs="Times New Roman"/>
          <w:sz w:val="24"/>
          <w:szCs w:val="24"/>
        </w:rPr>
        <w:t>osiguran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prostor za prijevoz </w:t>
      </w:r>
      <w:r w:rsidR="005E0999" w:rsidRPr="00BF61CF">
        <w:rPr>
          <w:rFonts w:ascii="Times New Roman" w:eastAsia="Calibri" w:hAnsi="Times New Roman" w:cs="Times New Roman"/>
          <w:sz w:val="24"/>
          <w:szCs w:val="24"/>
        </w:rPr>
        <w:t>bicikala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14:paraId="3D9E579E" w14:textId="193ED44F" w:rsidR="0052651E" w:rsidRPr="00BF61CF" w:rsidRDefault="0052651E" w:rsidP="00C650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</w:rPr>
        <w:t>Opis parametara financijske naknade</w:t>
      </w:r>
      <w:r w:rsidRPr="00BF61CF">
        <w:rPr>
          <w:rFonts w:ascii="Times New Roman" w:eastAsia="Calibri" w:hAnsi="Times New Roman" w:cs="Times New Roman"/>
          <w:sz w:val="24"/>
          <w:szCs w:val="24"/>
        </w:rPr>
        <w:t>:</w:t>
      </w:r>
      <w:r w:rsidR="00DA7683" w:rsidRPr="00BF6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Naknada za obavljanje usluge od općeg gospodarskog interesa ne smije premašiti iznos koji je neophodan za pokriće neto troškova koji su nastali pri izvršenju obveze javne usluge, uzimajući u obzir prihode i razumnu dobit. Razumna dobit </w:t>
      </w:r>
      <w:r w:rsidR="00C650EE" w:rsidRPr="00BF61CF">
        <w:rPr>
          <w:rFonts w:ascii="Times New Roman" w:eastAsia="Calibri" w:hAnsi="Times New Roman" w:cs="Times New Roman"/>
          <w:sz w:val="24"/>
          <w:szCs w:val="24"/>
        </w:rPr>
        <w:t>se utvrđuje kao povrat na angažirani kapital (ROCE). Kako bi se osiguralo da se</w:t>
      </w:r>
      <w:r w:rsidR="005E0999" w:rsidRPr="00BF61CF">
        <w:rPr>
          <w:rFonts w:ascii="Times New Roman" w:eastAsia="Calibri" w:hAnsi="Times New Roman" w:cs="Times New Roman"/>
          <w:sz w:val="24"/>
          <w:szCs w:val="24"/>
        </w:rPr>
        <w:t xml:space="preserve"> Pružatelju</w:t>
      </w:r>
      <w:r w:rsidR="00C650EE" w:rsidRPr="00BF61CF">
        <w:rPr>
          <w:rFonts w:ascii="Times New Roman" w:eastAsia="Calibri" w:hAnsi="Times New Roman" w:cs="Times New Roman"/>
          <w:sz w:val="24"/>
          <w:szCs w:val="24"/>
        </w:rPr>
        <w:t xml:space="preserve"> usluga neće isplatiti prekomjerna nadoknada, maksimalni godišnji iznos razumne dobiti ne može prelaziti ekvivalent prinosa na 10-godišnje obveznice Republike Hrvatske za valute u </w:t>
      </w:r>
      <w:r w:rsidR="00F92E6F">
        <w:rPr>
          <w:rFonts w:ascii="Times New Roman" w:eastAsia="Calibri" w:hAnsi="Times New Roman" w:cs="Times New Roman"/>
          <w:sz w:val="24"/>
          <w:szCs w:val="24"/>
        </w:rPr>
        <w:t>eurima</w:t>
      </w:r>
      <w:r w:rsidR="00C650EE" w:rsidRPr="00BF61CF">
        <w:rPr>
          <w:rFonts w:ascii="Times New Roman" w:eastAsia="Calibri" w:hAnsi="Times New Roman" w:cs="Times New Roman"/>
          <w:color w:val="ED7D31" w:themeColor="accent2"/>
          <w:sz w:val="24"/>
          <w:szCs w:val="24"/>
        </w:rPr>
        <w:t>.</w:t>
      </w: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 Prihod(i) znači prihode od prijevoznih karata, uključujući zamjene za prijevozne karte, prihode proizašle iz studentskog prijevoza, prihode od prijevoza putnika s invaliditetom, prihode od kazni za vožnju bez prijevozne karte kao i prihode po osnovi dijeljenja prihoda – ako je to primjenjivo. Prihod(i) ne obuhvaća prihode od najma i zakupa te druge prihode. Iznosi naknade za pruženu uslugu prijevoza putnika ovise o volumenu prijevozne usluge.</w:t>
      </w:r>
    </w:p>
    <w:p w14:paraId="7E940C5B" w14:textId="77777777" w:rsidR="0052651E" w:rsidRPr="00BF61CF" w:rsidRDefault="0052651E" w:rsidP="004912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F599" w14:textId="77777777" w:rsidR="0052651E" w:rsidRPr="00BF61CF" w:rsidRDefault="00A2180E" w:rsidP="00E4478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</w:rPr>
        <w:t>Ciljev</w:t>
      </w:r>
      <w:r w:rsidR="00B470F2" w:rsidRPr="00BF61CF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52651E" w:rsidRPr="00BF61CF">
        <w:rPr>
          <w:rFonts w:ascii="Times New Roman" w:eastAsia="Calibri" w:hAnsi="Times New Roman" w:cs="Times New Roman"/>
          <w:b/>
          <w:sz w:val="24"/>
          <w:szCs w:val="24"/>
        </w:rPr>
        <w:t xml:space="preserve"> u smislu kvalitete, kao što su točnost, pouzdanost </w:t>
      </w:r>
      <w:r w:rsidRPr="00BF61CF">
        <w:rPr>
          <w:rFonts w:ascii="Times New Roman" w:eastAsia="Calibri" w:hAnsi="Times New Roman" w:cs="Times New Roman"/>
          <w:b/>
          <w:sz w:val="24"/>
          <w:szCs w:val="24"/>
        </w:rPr>
        <w:t>i mjerodavne nagrade i sankcije</w:t>
      </w:r>
      <w:r w:rsidR="00B470F2" w:rsidRPr="00BF61C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A7683" w:rsidRPr="00BF61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651E" w:rsidRPr="00BF61CF">
        <w:rPr>
          <w:rFonts w:ascii="Times New Roman" w:eastAsia="Calibri" w:hAnsi="Times New Roman" w:cs="Times New Roman"/>
          <w:sz w:val="24"/>
          <w:szCs w:val="24"/>
        </w:rPr>
        <w:t>Kako bi se poboljšala kvaliteta usluge</w:t>
      </w:r>
      <w:r w:rsidRPr="00BF61CF">
        <w:rPr>
          <w:rFonts w:ascii="Times New Roman" w:eastAsia="Calibri" w:hAnsi="Times New Roman" w:cs="Times New Roman"/>
          <w:sz w:val="24"/>
          <w:szCs w:val="24"/>
        </w:rPr>
        <w:t>,</w:t>
      </w:r>
      <w:r w:rsidR="0052651E" w:rsidRPr="00BF61CF">
        <w:rPr>
          <w:rFonts w:ascii="Times New Roman" w:eastAsia="Calibri" w:hAnsi="Times New Roman" w:cs="Times New Roman"/>
          <w:sz w:val="24"/>
          <w:szCs w:val="24"/>
        </w:rPr>
        <w:t xml:space="preserve"> Ugovorom je omogućena prilagodba financiranja i uvjeti koje je potrebno zadovoljiti kako bi se mogla omogućiti nabava vlakova iz EU fondova. Vrsta i opseg dogovorene i plaćene kvalitete te sustav kazni </w:t>
      </w:r>
      <w:r w:rsidR="0052651E" w:rsidRPr="00BF61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nalazi se u prilozima </w:t>
      </w:r>
      <w:r w:rsidR="00DA7683" w:rsidRPr="00BF61CF">
        <w:rPr>
          <w:rFonts w:ascii="Times New Roman" w:eastAsia="Calibri" w:hAnsi="Times New Roman" w:cs="Times New Roman"/>
          <w:sz w:val="24"/>
          <w:szCs w:val="24"/>
        </w:rPr>
        <w:t>U</w:t>
      </w:r>
      <w:r w:rsidR="0052651E" w:rsidRPr="00BF61CF">
        <w:rPr>
          <w:rFonts w:ascii="Times New Roman" w:eastAsia="Calibri" w:hAnsi="Times New Roman" w:cs="Times New Roman"/>
          <w:sz w:val="24"/>
          <w:szCs w:val="24"/>
        </w:rPr>
        <w:t xml:space="preserve">govora (1 - 8), u kojima su popisani zahtjevi u pogledu standarda kvalitete, pouzdanosti, točnosti, razine usluge kao i zaštite i sigurnosti u odnosu na sve prijevozne usluge koje je društvo </w:t>
      </w:r>
      <w:r w:rsidR="00B470F2" w:rsidRPr="00BF61CF">
        <w:rPr>
          <w:rFonts w:ascii="Times New Roman" w:eastAsia="Calibri" w:hAnsi="Times New Roman" w:cs="Times New Roman"/>
          <w:sz w:val="24"/>
          <w:szCs w:val="24"/>
        </w:rPr>
        <w:t>HŽ Putnički prijevoz d.o.o.</w:t>
      </w:r>
      <w:r w:rsidR="0052651E" w:rsidRPr="00BF61CF">
        <w:rPr>
          <w:rFonts w:ascii="Times New Roman" w:eastAsia="Calibri" w:hAnsi="Times New Roman" w:cs="Times New Roman"/>
          <w:sz w:val="24"/>
          <w:szCs w:val="24"/>
        </w:rPr>
        <w:t xml:space="preserve"> dužno obavljati </w:t>
      </w:r>
      <w:r w:rsidRPr="00BF61CF">
        <w:rPr>
          <w:rFonts w:ascii="Times New Roman" w:eastAsia="Calibri" w:hAnsi="Times New Roman" w:cs="Times New Roman"/>
          <w:sz w:val="24"/>
          <w:szCs w:val="24"/>
        </w:rPr>
        <w:t>n</w:t>
      </w:r>
      <w:r w:rsidR="00B470F2" w:rsidRPr="00BF61CF">
        <w:rPr>
          <w:rFonts w:ascii="Times New Roman" w:eastAsia="Calibri" w:hAnsi="Times New Roman" w:cs="Times New Roman"/>
          <w:sz w:val="24"/>
          <w:szCs w:val="24"/>
        </w:rPr>
        <w:t>a temelju</w:t>
      </w:r>
      <w:r w:rsidR="0052651E" w:rsidRPr="00BF61CF">
        <w:rPr>
          <w:rFonts w:ascii="Times New Roman" w:eastAsia="Calibri" w:hAnsi="Times New Roman" w:cs="Times New Roman"/>
          <w:sz w:val="24"/>
          <w:szCs w:val="24"/>
        </w:rPr>
        <w:t xml:space="preserve"> Ugovora. </w:t>
      </w:r>
    </w:p>
    <w:p w14:paraId="099CAFD9" w14:textId="77777777" w:rsidR="0052651E" w:rsidRPr="00BF61CF" w:rsidRDefault="0052651E" w:rsidP="004912BF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12D353" w14:textId="77777777" w:rsidR="0052651E" w:rsidRPr="00BF61CF" w:rsidRDefault="0052651E" w:rsidP="0052651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F61CF">
        <w:rPr>
          <w:rFonts w:ascii="Times New Roman" w:eastAsia="Calibri" w:hAnsi="Times New Roman" w:cs="Times New Roman"/>
          <w:b/>
          <w:sz w:val="24"/>
          <w:szCs w:val="24"/>
          <w:u w:val="single"/>
        </w:rPr>
        <w:t>Prilozi Ugovora :</w:t>
      </w:r>
    </w:p>
    <w:p w14:paraId="7C41F988" w14:textId="77777777" w:rsidR="0052651E" w:rsidRPr="00BF61CF" w:rsidRDefault="00A2180E" w:rsidP="0052651E">
      <w:pPr>
        <w:spacing w:line="36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• Prilog 1 – Opseg usluga </w:t>
      </w:r>
    </w:p>
    <w:p w14:paraId="0A0EC335" w14:textId="77777777" w:rsidR="0052651E" w:rsidRPr="00BF61CF" w:rsidRDefault="0052651E" w:rsidP="0052651E">
      <w:pPr>
        <w:spacing w:line="36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>• Prilog 2 – Obračunska shema i Osnovna struktura obračuna naknade</w:t>
      </w:r>
    </w:p>
    <w:p w14:paraId="736371D6" w14:textId="77777777" w:rsidR="0052651E" w:rsidRPr="00BF61CF" w:rsidRDefault="0052651E" w:rsidP="0052651E">
      <w:pPr>
        <w:spacing w:line="36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• Prilog 3 – Sustav kazni </w:t>
      </w:r>
    </w:p>
    <w:p w14:paraId="491317AD" w14:textId="07FD3AF5" w:rsidR="0052651E" w:rsidRPr="00BF61CF" w:rsidRDefault="0052651E" w:rsidP="008F35FF">
      <w:pPr>
        <w:tabs>
          <w:tab w:val="left" w:pos="1418"/>
        </w:tabs>
        <w:spacing w:line="360" w:lineRule="auto"/>
        <w:ind w:left="2694" w:hanging="12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>• Prilog 4 – Specifikacija vozila u uporabi; Tehničke specifikacije i Matrica</w:t>
      </w:r>
      <w:r w:rsidR="00B35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61CF">
        <w:rPr>
          <w:rFonts w:ascii="Times New Roman" w:eastAsia="Calibri" w:hAnsi="Times New Roman" w:cs="Times New Roman"/>
          <w:sz w:val="24"/>
          <w:szCs w:val="24"/>
        </w:rPr>
        <w:t>zamjena</w:t>
      </w:r>
    </w:p>
    <w:p w14:paraId="7C802847" w14:textId="77777777" w:rsidR="0052651E" w:rsidRPr="00BF61CF" w:rsidRDefault="0052651E" w:rsidP="0052651E">
      <w:pPr>
        <w:spacing w:line="36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>• Prilog 5 – Marketinški zahtjevi</w:t>
      </w:r>
    </w:p>
    <w:p w14:paraId="5B96233A" w14:textId="77777777" w:rsidR="0052651E" w:rsidRPr="00BF61CF" w:rsidRDefault="0052651E" w:rsidP="0052651E">
      <w:pPr>
        <w:spacing w:line="36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>• Prilog 6 – Struktura izvješća o ključnim pokazateljima</w:t>
      </w:r>
    </w:p>
    <w:p w14:paraId="29D25697" w14:textId="77777777" w:rsidR="0052651E" w:rsidRPr="00BF61CF" w:rsidRDefault="0052651E" w:rsidP="0052651E">
      <w:pPr>
        <w:spacing w:line="36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>• Prilog 7 – Anketiranje putnika</w:t>
      </w:r>
    </w:p>
    <w:p w14:paraId="0550B5A0" w14:textId="77777777" w:rsidR="0052651E" w:rsidRPr="00BF61CF" w:rsidRDefault="0052651E" w:rsidP="0052651E">
      <w:pPr>
        <w:spacing w:line="36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1CF">
        <w:rPr>
          <w:rFonts w:ascii="Times New Roman" w:eastAsia="Calibri" w:hAnsi="Times New Roman" w:cs="Times New Roman"/>
          <w:sz w:val="24"/>
          <w:szCs w:val="24"/>
        </w:rPr>
        <w:t xml:space="preserve">• Prilog 8 – Program poticanja  prihoda za financijsku godinu </w:t>
      </w:r>
    </w:p>
    <w:p w14:paraId="04547BA4" w14:textId="77777777" w:rsidR="0052651E" w:rsidRPr="00BF61CF" w:rsidRDefault="0052651E" w:rsidP="0052651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8051E" w14:textId="77777777" w:rsidR="0052651E" w:rsidRPr="00BF61CF" w:rsidRDefault="00A2180E" w:rsidP="00526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Vlade Republike Hrvatske o davanju suglasnosti Ministarstvu mora, prometa i infrastrukture za preuzimanje obaveza na teret sredstava državnog proračuna Republike Hrvatske za razdoblje od 2019. do 2028. godine, za sklapanje </w:t>
      </w:r>
      <w:r w:rsidR="00A45E28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govora s društvom HŽ Putnički prijevoz d.o.o. za prijevoz putnika o javnim uslugama za usluge od općeg gospodarskog interesa u javnom željezničkom prijevozu u Republici Hrvatskoj za razdoblje od 1. siječnja 2019. godine do 31. prosinca 2028. godine (u daljnjem tekstu: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Vlade Republike Hrvatske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) od dana 13. prosinca 2018. godine, ukupna ugovorena vrijednost Ugovora br. 1/2019/DP-HŽPP iznosi</w:t>
      </w:r>
      <w:r w:rsidR="00407C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613.179.374,88 eura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raspoređena po godinama od 2019. - 2028. godine. </w:t>
      </w:r>
    </w:p>
    <w:p w14:paraId="0C890EC4" w14:textId="0F1AD3EE" w:rsidR="0052651E" w:rsidRDefault="0052651E" w:rsidP="00526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Niže navedene tablice prikazuju parametre </w:t>
      </w:r>
      <w:r w:rsidR="00881BC5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kojih je izvršena usluga od strane društva HŽ Putnički prijevoz d.o.o. u željezničkom prijevozu putnika tijekom </w:t>
      </w:r>
      <w:r w:rsidR="007A3F7C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E75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a koje je Ministarstvo mora, prometa i infrastrukture Republike Hrvatske, sukladno članku 7. stav</w:t>
      </w:r>
      <w:r w:rsidR="00A45E28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Uredbe (EZ) br. 1370/2007 i </w:t>
      </w:r>
      <w:r w:rsidR="00166665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ugovorenih obveza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pružanja javnih usluga od općeg gospodarskog interesa u javnom željezničkom prijevozu u Republici Hrvatskoj za usluge od općeg gospodarskog interesa u javnom željezničkom </w:t>
      </w:r>
      <w:r w:rsidR="001A597B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putničkom 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prijevozu dodijelilo društvu HŽ Putnički prijevoz d.o.o. u </w:t>
      </w:r>
      <w:r w:rsidR="00571B6D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E75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973F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godini.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340FA9A" w14:textId="77777777" w:rsidR="00DD38DF" w:rsidRDefault="00DD38DF" w:rsidP="00526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837E5" w14:textId="77777777" w:rsidR="00580895" w:rsidRPr="00BF61CF" w:rsidRDefault="00580895" w:rsidP="00526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54F2A1" w14:textId="5B733165" w:rsidR="0052651E" w:rsidRPr="00BF61CF" w:rsidRDefault="0052651E" w:rsidP="0052651E">
      <w:pPr>
        <w:rPr>
          <w:rFonts w:ascii="Times New Roman" w:hAnsi="Times New Roman" w:cs="Times New Roman"/>
          <w:strike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lastRenderedPageBreak/>
        <w:t xml:space="preserve">Tablica 1. – Godišnje izvješće za </w:t>
      </w:r>
      <w:r w:rsidR="00BC78C2" w:rsidRPr="00BF61CF">
        <w:rPr>
          <w:rFonts w:ascii="Times New Roman" w:hAnsi="Times New Roman" w:cs="Times New Roman"/>
          <w:sz w:val="24"/>
          <w:szCs w:val="24"/>
        </w:rPr>
        <w:t>202</w:t>
      </w:r>
      <w:r w:rsidR="007E758D">
        <w:rPr>
          <w:rFonts w:ascii="Times New Roman" w:hAnsi="Times New Roman" w:cs="Times New Roman"/>
          <w:sz w:val="24"/>
          <w:szCs w:val="24"/>
        </w:rPr>
        <w:t>5</w:t>
      </w:r>
      <w:r w:rsidRPr="00BF61CF">
        <w:rPr>
          <w:rFonts w:ascii="Times New Roman" w:hAnsi="Times New Roman" w:cs="Times New Roman"/>
          <w:sz w:val="24"/>
          <w:szCs w:val="24"/>
        </w:rPr>
        <w:t xml:space="preserve">. godinu – </w:t>
      </w:r>
      <w:r w:rsidRPr="00BF61CF">
        <w:rPr>
          <w:rFonts w:ascii="Times New Roman" w:hAnsi="Times New Roman" w:cs="Times New Roman"/>
          <w:b/>
          <w:bCs/>
          <w:sz w:val="24"/>
          <w:szCs w:val="24"/>
        </w:rPr>
        <w:t xml:space="preserve">financijski pokazatelji </w:t>
      </w:r>
      <w:r w:rsidRPr="00BF61CF">
        <w:rPr>
          <w:rFonts w:ascii="Times New Roman" w:hAnsi="Times New Roman" w:cs="Times New Roman"/>
          <w:bCs/>
          <w:sz w:val="24"/>
          <w:szCs w:val="24"/>
        </w:rPr>
        <w:t xml:space="preserve">(u </w:t>
      </w:r>
      <w:r w:rsidR="00451DA9">
        <w:rPr>
          <w:rFonts w:ascii="Times New Roman" w:hAnsi="Times New Roman" w:cs="Times New Roman"/>
          <w:bCs/>
          <w:sz w:val="24"/>
          <w:szCs w:val="24"/>
        </w:rPr>
        <w:t>EUR</w:t>
      </w:r>
      <w:r w:rsidRPr="00BF61CF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10065" w:type="dxa"/>
        <w:tblInd w:w="-145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8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701"/>
        <w:gridCol w:w="1701"/>
        <w:gridCol w:w="1276"/>
        <w:gridCol w:w="1559"/>
      </w:tblGrid>
      <w:tr w:rsidR="00DD38DF" w:rsidRPr="00BF61CF" w14:paraId="67AAFF4E" w14:textId="34A270AC" w:rsidTr="00DD38DF">
        <w:trPr>
          <w:trHeight w:val="1210"/>
        </w:trPr>
        <w:tc>
          <w:tcPr>
            <w:tcW w:w="709" w:type="dxa"/>
            <w:shd w:val="clear" w:color="auto" w:fill="5B9BD5" w:themeFill="accent1"/>
          </w:tcPr>
          <w:p w14:paraId="5CECEB4C" w14:textId="4380A631" w:rsidR="00DD38DF" w:rsidRPr="00BF61CF" w:rsidRDefault="00DD38DF" w:rsidP="00B723E6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God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shd w:val="clear" w:color="auto" w:fill="5B9BD5" w:themeFill="accent1"/>
          </w:tcPr>
          <w:p w14:paraId="080B9BAA" w14:textId="77777777" w:rsidR="00DD38DF" w:rsidRPr="00BF61CF" w:rsidRDefault="00DD38DF" w:rsidP="006A4EA1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Ukupni iznos naknade</w:t>
            </w:r>
          </w:p>
        </w:tc>
        <w:tc>
          <w:tcPr>
            <w:tcW w:w="1418" w:type="dxa"/>
            <w:shd w:val="clear" w:color="auto" w:fill="5B9BD5" w:themeFill="accent1"/>
          </w:tcPr>
          <w:p w14:paraId="405F8AD8" w14:textId="4F685394" w:rsidR="00DD38DF" w:rsidRPr="00BF61CF" w:rsidRDefault="00DD38DF" w:rsidP="006A4EA1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Ukupan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F61CF">
              <w:rPr>
                <w:rFonts w:ascii="Times New Roman" w:hAnsi="Times New Roman" w:cs="Times New Roman"/>
                <w:szCs w:val="24"/>
              </w:rPr>
              <w:t xml:space="preserve"> prihod po Ugovoru</w:t>
            </w:r>
          </w:p>
        </w:tc>
        <w:tc>
          <w:tcPr>
            <w:tcW w:w="1701" w:type="dxa"/>
            <w:shd w:val="clear" w:color="auto" w:fill="5B9BD5" w:themeFill="accent1"/>
          </w:tcPr>
          <w:p w14:paraId="2C5E6240" w14:textId="77777777" w:rsidR="00DD38DF" w:rsidRPr="00BF61CF" w:rsidRDefault="00DD38DF" w:rsidP="006A4EA1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Ukupan trošak po Ugovoru</w:t>
            </w:r>
          </w:p>
        </w:tc>
        <w:tc>
          <w:tcPr>
            <w:tcW w:w="1701" w:type="dxa"/>
            <w:shd w:val="clear" w:color="auto" w:fill="5B9BD5" w:themeFill="accent1"/>
          </w:tcPr>
          <w:p w14:paraId="3BEC0CAA" w14:textId="77777777" w:rsidR="00DD38DF" w:rsidRPr="00BF61CF" w:rsidRDefault="00DD38DF" w:rsidP="006A4EA1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 xml:space="preserve">Ukupna razlika troškova i prihoda </w:t>
            </w:r>
          </w:p>
        </w:tc>
        <w:tc>
          <w:tcPr>
            <w:tcW w:w="1276" w:type="dxa"/>
            <w:shd w:val="clear" w:color="auto" w:fill="5B9BD5" w:themeFill="accent1"/>
          </w:tcPr>
          <w:p w14:paraId="69AEA04F" w14:textId="77777777" w:rsidR="00DD38DF" w:rsidRPr="00BF61CF" w:rsidRDefault="00DD38DF" w:rsidP="006A4EA1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Prosječna pokrivenost troškova prihodom</w:t>
            </w:r>
          </w:p>
        </w:tc>
        <w:tc>
          <w:tcPr>
            <w:tcW w:w="1559" w:type="dxa"/>
            <w:shd w:val="clear" w:color="auto" w:fill="5B9BD5" w:themeFill="accent1"/>
          </w:tcPr>
          <w:p w14:paraId="6B48ECA2" w14:textId="77777777" w:rsidR="00DD38DF" w:rsidRPr="00BF61CF" w:rsidRDefault="00DD38DF" w:rsidP="006A4EA1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Prihod od prijevoza putnika vlakom</w:t>
            </w:r>
          </w:p>
        </w:tc>
      </w:tr>
      <w:tr w:rsidR="00DD38DF" w:rsidRPr="00BF61CF" w14:paraId="6D57923B" w14:textId="03019E81" w:rsidTr="00DD38DF">
        <w:trPr>
          <w:trHeight w:val="461"/>
        </w:trPr>
        <w:tc>
          <w:tcPr>
            <w:tcW w:w="709" w:type="dxa"/>
            <w:shd w:val="clear" w:color="auto" w:fill="DEEAF6" w:themeFill="accent1" w:themeFillTint="33"/>
          </w:tcPr>
          <w:p w14:paraId="2611484D" w14:textId="77777777" w:rsidR="00DD38DF" w:rsidRPr="00DD38DF" w:rsidRDefault="00DD38DF" w:rsidP="00C47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F7A35" w14:textId="13A58120" w:rsidR="00DD38DF" w:rsidRPr="00DD38DF" w:rsidRDefault="00DD38DF" w:rsidP="007E7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8DF"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CCFFAA0" w14:textId="77777777" w:rsidR="00DD38DF" w:rsidRPr="00DD38DF" w:rsidRDefault="00DD38DF" w:rsidP="006A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81F3F" w14:textId="56847E83" w:rsidR="00DD38DF" w:rsidRPr="00DD38DF" w:rsidRDefault="00DD38DF" w:rsidP="00B35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8DF">
              <w:rPr>
                <w:rFonts w:ascii="Times New Roman" w:hAnsi="Times New Roman" w:cs="Times New Roman"/>
                <w:sz w:val="20"/>
                <w:szCs w:val="20"/>
              </w:rPr>
              <w:t xml:space="preserve">119.000.000,00 </w:t>
            </w:r>
          </w:p>
          <w:p w14:paraId="01CEAEE3" w14:textId="5F091FDC" w:rsidR="00DD38DF" w:rsidRPr="00DD38DF" w:rsidRDefault="00DD38DF" w:rsidP="00B35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7117E4CC" w14:textId="77777777" w:rsidR="00DD38DF" w:rsidRPr="00DD38DF" w:rsidRDefault="00DD38DF" w:rsidP="006A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5801" w14:textId="6F781C09" w:rsidR="00DD38DF" w:rsidRPr="00DD38DF" w:rsidRDefault="00DD38DF" w:rsidP="00B72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8DF">
              <w:rPr>
                <w:rFonts w:ascii="Times New Roman" w:hAnsi="Times New Roman" w:cs="Times New Roman"/>
                <w:sz w:val="20"/>
                <w:szCs w:val="20"/>
              </w:rPr>
              <w:t>27.398.198,54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84348BD" w14:textId="7D8A459E" w:rsidR="00DD38DF" w:rsidRPr="00DD38DF" w:rsidRDefault="00DD38DF" w:rsidP="0065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8DF">
              <w:rPr>
                <w:rFonts w:ascii="Times New Roman" w:hAnsi="Times New Roman" w:cs="Times New Roman"/>
                <w:sz w:val="20"/>
                <w:szCs w:val="20"/>
              </w:rPr>
              <w:t xml:space="preserve">            143.527.251,26 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84A4AE8" w14:textId="77777777" w:rsidR="00DD38DF" w:rsidRPr="00DD38DF" w:rsidRDefault="00DD38DF" w:rsidP="00C47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7360" w14:textId="65FFE51F" w:rsidR="00DD38DF" w:rsidRPr="00DD38DF" w:rsidRDefault="00DD38DF" w:rsidP="00B7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8DF">
              <w:rPr>
                <w:rFonts w:ascii="Times New Roman" w:hAnsi="Times New Roman" w:cs="Times New Roman"/>
                <w:sz w:val="20"/>
                <w:szCs w:val="20"/>
              </w:rPr>
              <w:t>-116.129.052,72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0FCC825" w14:textId="77777777" w:rsidR="00DD38DF" w:rsidRPr="00DD38DF" w:rsidRDefault="00DD38DF" w:rsidP="006A4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8C718" w14:textId="38F81074" w:rsidR="00DD38DF" w:rsidRPr="00DD38DF" w:rsidRDefault="00DD38DF" w:rsidP="00B7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8DF">
              <w:rPr>
                <w:rFonts w:ascii="Times New Roman" w:hAnsi="Times New Roman" w:cs="Times New Roman"/>
                <w:sz w:val="20"/>
                <w:szCs w:val="20"/>
              </w:rPr>
              <w:t>12,06%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658CACA" w14:textId="77777777" w:rsidR="00DD38DF" w:rsidRPr="00DD38DF" w:rsidRDefault="00DD38DF" w:rsidP="00B72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842CD" w14:textId="13C4F788" w:rsidR="00DD38DF" w:rsidRPr="00DD38DF" w:rsidRDefault="00DD38DF" w:rsidP="00B72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15.055.904,36 </w:t>
            </w:r>
          </w:p>
        </w:tc>
      </w:tr>
    </w:tbl>
    <w:p w14:paraId="5391C084" w14:textId="77777777" w:rsidR="004203D7" w:rsidRPr="00BF61CF" w:rsidRDefault="004203D7" w:rsidP="00C47FE1">
      <w:pPr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BF61CF">
        <w:rPr>
          <w:rFonts w:ascii="Times New Roman" w:hAnsi="Times New Roman" w:cs="Times New Roman"/>
          <w:i/>
          <w:sz w:val="20"/>
          <w:szCs w:val="24"/>
        </w:rPr>
        <w:t>Napomena:</w:t>
      </w:r>
      <w:r w:rsidRPr="00BF61CF">
        <w:rPr>
          <w:rFonts w:ascii="Times New Roman" w:hAnsi="Times New Roman" w:cs="Times New Roman"/>
          <w:sz w:val="20"/>
          <w:szCs w:val="24"/>
        </w:rPr>
        <w:t xml:space="preserve"> Financijske vrijednosti iskazane su u </w:t>
      </w:r>
      <w:r w:rsidR="00451DA9">
        <w:rPr>
          <w:rFonts w:ascii="Times New Roman" w:hAnsi="Times New Roman" w:cs="Times New Roman"/>
          <w:sz w:val="20"/>
          <w:szCs w:val="24"/>
        </w:rPr>
        <w:t>eurima .</w:t>
      </w:r>
    </w:p>
    <w:p w14:paraId="19937520" w14:textId="77777777" w:rsidR="004203D7" w:rsidRPr="00BF61CF" w:rsidRDefault="004203D7">
      <w:pPr>
        <w:rPr>
          <w:rFonts w:ascii="Times New Roman" w:hAnsi="Times New Roman" w:cs="Times New Roman"/>
          <w:sz w:val="24"/>
          <w:szCs w:val="24"/>
        </w:rPr>
      </w:pPr>
    </w:p>
    <w:p w14:paraId="4901190D" w14:textId="7FE56247" w:rsidR="0052651E" w:rsidRPr="00DD38DF" w:rsidRDefault="00881BC5" w:rsidP="00AF1D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navedenih parametara iz Tablice </w:t>
      </w:r>
      <w:r w:rsidR="001A597B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– Godišnje izvješće za </w:t>
      </w:r>
      <w:r w:rsidR="00B0570D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F1D2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- financijski pokazatelji, vidljivo </w:t>
      </w:r>
      <w:r w:rsidR="00500D46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0570D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F1D2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za potrebe provedbe Ugovora br. 1/2019/DP-HŽPP društvu HŽ Putnički prijevoz d.o.o. isplaćeno </w:t>
      </w:r>
      <w:r w:rsidR="000A2F0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F1D2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0A2F0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F1D2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A2F0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00.000,00 </w:t>
      </w:r>
      <w:r w:rsidR="00732278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92C53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je prihod </w:t>
      </w:r>
      <w:r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HŽ Putnički prijevoz d.o.o. iznosio </w:t>
      </w:r>
      <w:r w:rsidR="00AF1D2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27.398.198,54</w:t>
      </w:r>
      <w:r w:rsidR="0017755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Ukupni troškovi društva HŽ Putnički prijevoz d.o.o. iznosili su </w:t>
      </w:r>
      <w:r w:rsidR="00AF1D24" w:rsidRPr="00DD38DF">
        <w:rPr>
          <w:rFonts w:ascii="Times New Roman" w:hAnsi="Times New Roman" w:cs="Times New Roman"/>
          <w:szCs w:val="24"/>
        </w:rPr>
        <w:t xml:space="preserve">143.527.251,26  </w:t>
      </w:r>
      <w:r w:rsidR="0017755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. Slijedom navedenog, vidljivo je da</w:t>
      </w:r>
      <w:r w:rsidR="00D62B97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ukupna razlika između troškova i prihoda društva HŽ Putnički prijevoz d.o.o.</w:t>
      </w:r>
      <w:r w:rsidR="00500D46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iznosila</w:t>
      </w:r>
      <w:r w:rsidR="0058089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1D2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087A99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F1D24" w:rsidRPr="00DD38DF">
        <w:rPr>
          <w:rFonts w:ascii="Times New Roman" w:hAnsi="Times New Roman" w:cs="Times New Roman"/>
          <w:szCs w:val="24"/>
        </w:rPr>
        <w:t>116.129.052,72</w:t>
      </w:r>
      <w:r w:rsidR="0017755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pri čemu proizlazi da je prosječna pokrivenost troškova prihodom u </w:t>
      </w:r>
      <w:r w:rsidR="00F27C3A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F1D2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iznosila </w:t>
      </w:r>
      <w:r w:rsidR="00AF1D24" w:rsidRPr="00DD38DF">
        <w:rPr>
          <w:rFonts w:ascii="Times New Roman" w:hAnsi="Times New Roman" w:cs="Times New Roman"/>
          <w:szCs w:val="24"/>
        </w:rPr>
        <w:t>12,06%.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 od prijevoza putnika u željezničkom prometu u </w:t>
      </w:r>
      <w:r w:rsidR="00D52C9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F1D2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iznosio je </w:t>
      </w:r>
      <w:r w:rsidR="00AF1D24" w:rsidRPr="00DD38DF">
        <w:rPr>
          <w:rFonts w:ascii="Times New Roman" w:hAnsi="Times New Roman" w:cs="Times New Roman"/>
          <w:b/>
          <w:szCs w:val="24"/>
        </w:rPr>
        <w:t xml:space="preserve">15.055.904,36 </w:t>
      </w:r>
      <w:r w:rsidR="0017755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2AEC0D" w14:textId="77777777" w:rsidR="00500D46" w:rsidRPr="00BF61CF" w:rsidRDefault="00500D46" w:rsidP="004912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AE90E0" w14:textId="17B126AE" w:rsidR="0052651E" w:rsidRPr="00BF61CF" w:rsidRDefault="0052651E" w:rsidP="0052651E">
      <w:pPr>
        <w:rPr>
          <w:rFonts w:ascii="Times New Roman" w:hAnsi="Times New Roman" w:cs="Times New Roman"/>
          <w:strike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 xml:space="preserve">Tablica 2. – Godišnje izvješće za </w:t>
      </w:r>
      <w:r w:rsidR="005E750E" w:rsidRPr="00BF61CF">
        <w:rPr>
          <w:rFonts w:ascii="Times New Roman" w:hAnsi="Times New Roman" w:cs="Times New Roman"/>
          <w:sz w:val="24"/>
          <w:szCs w:val="24"/>
        </w:rPr>
        <w:t>202</w:t>
      </w:r>
      <w:r w:rsidR="00AF1D24">
        <w:rPr>
          <w:rFonts w:ascii="Times New Roman" w:hAnsi="Times New Roman" w:cs="Times New Roman"/>
          <w:sz w:val="24"/>
          <w:szCs w:val="24"/>
        </w:rPr>
        <w:t>5</w:t>
      </w:r>
      <w:r w:rsidRPr="00BF61CF">
        <w:rPr>
          <w:rFonts w:ascii="Times New Roman" w:hAnsi="Times New Roman" w:cs="Times New Roman"/>
          <w:sz w:val="24"/>
          <w:szCs w:val="24"/>
        </w:rPr>
        <w:t xml:space="preserve">. godinu – </w:t>
      </w:r>
      <w:r w:rsidRPr="00BF61CF">
        <w:rPr>
          <w:rFonts w:ascii="Times New Roman" w:hAnsi="Times New Roman" w:cs="Times New Roman"/>
          <w:b/>
          <w:sz w:val="24"/>
          <w:szCs w:val="24"/>
        </w:rPr>
        <w:t>naturalni</w:t>
      </w:r>
      <w:r w:rsidRPr="00BF61CF">
        <w:rPr>
          <w:rFonts w:ascii="Times New Roman" w:hAnsi="Times New Roman" w:cs="Times New Roman"/>
          <w:b/>
          <w:bCs/>
          <w:sz w:val="24"/>
          <w:szCs w:val="24"/>
        </w:rPr>
        <w:t xml:space="preserve"> pokazatelji </w:t>
      </w:r>
    </w:p>
    <w:tbl>
      <w:tblPr>
        <w:tblStyle w:val="TableGrid"/>
        <w:tblW w:w="934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276"/>
        <w:gridCol w:w="1134"/>
        <w:gridCol w:w="850"/>
        <w:gridCol w:w="1276"/>
        <w:gridCol w:w="1701"/>
        <w:gridCol w:w="992"/>
        <w:gridCol w:w="1276"/>
      </w:tblGrid>
      <w:tr w:rsidR="00EF3A5E" w:rsidRPr="00BF61CF" w14:paraId="1B927917" w14:textId="77777777" w:rsidTr="00A200BF">
        <w:trPr>
          <w:trHeight w:val="1538"/>
        </w:trPr>
        <w:tc>
          <w:tcPr>
            <w:tcW w:w="841" w:type="dxa"/>
            <w:shd w:val="clear" w:color="auto" w:fill="5B9BD5" w:themeFill="accent1"/>
          </w:tcPr>
          <w:p w14:paraId="22F8DFA2" w14:textId="77777777" w:rsidR="0052651E" w:rsidRPr="00BF61CF" w:rsidRDefault="0052651E" w:rsidP="006A4EA1">
            <w:pPr>
              <w:rPr>
                <w:rFonts w:ascii="Times New Roman" w:hAnsi="Times New Roman" w:cs="Times New Roman"/>
                <w:sz w:val="20"/>
              </w:rPr>
            </w:pPr>
            <w:r w:rsidRPr="00BF61CF">
              <w:rPr>
                <w:rFonts w:ascii="Times New Roman" w:hAnsi="Times New Roman" w:cs="Times New Roman"/>
                <w:sz w:val="20"/>
              </w:rPr>
              <w:t>Godina</w:t>
            </w:r>
          </w:p>
        </w:tc>
        <w:tc>
          <w:tcPr>
            <w:tcW w:w="1276" w:type="dxa"/>
            <w:shd w:val="clear" w:color="auto" w:fill="5B9BD5" w:themeFill="accent1"/>
          </w:tcPr>
          <w:p w14:paraId="40A7FFE0" w14:textId="05D8B60A" w:rsidR="0052651E" w:rsidRPr="00BF61CF" w:rsidRDefault="00BE787E" w:rsidP="006A4E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</w:t>
            </w:r>
            <w:r w:rsidR="00285F2C">
              <w:rPr>
                <w:rFonts w:ascii="Times New Roman" w:hAnsi="Times New Roman" w:cs="Times New Roman"/>
                <w:sz w:val="20"/>
              </w:rPr>
              <w:t>dvezeni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2651E" w:rsidRPr="00BF61CF">
              <w:rPr>
                <w:rFonts w:ascii="Times New Roman" w:hAnsi="Times New Roman" w:cs="Times New Roman"/>
                <w:sz w:val="20"/>
              </w:rPr>
              <w:t>broj vlak/km</w:t>
            </w:r>
          </w:p>
        </w:tc>
        <w:tc>
          <w:tcPr>
            <w:tcW w:w="1134" w:type="dxa"/>
            <w:shd w:val="clear" w:color="auto" w:fill="5B9BD5" w:themeFill="accent1"/>
          </w:tcPr>
          <w:p w14:paraId="08100CCB" w14:textId="77777777" w:rsidR="0052651E" w:rsidRPr="00BF61CF" w:rsidRDefault="0052651E" w:rsidP="006A4EA1">
            <w:pPr>
              <w:rPr>
                <w:rFonts w:ascii="Times New Roman" w:hAnsi="Times New Roman" w:cs="Times New Roman"/>
                <w:sz w:val="20"/>
              </w:rPr>
            </w:pPr>
            <w:r w:rsidRPr="00BF61CF">
              <w:rPr>
                <w:rFonts w:ascii="Times New Roman" w:hAnsi="Times New Roman" w:cs="Times New Roman"/>
                <w:sz w:val="20"/>
              </w:rPr>
              <w:t>Odvezenih supstitucija bus/km</w:t>
            </w:r>
          </w:p>
        </w:tc>
        <w:tc>
          <w:tcPr>
            <w:tcW w:w="850" w:type="dxa"/>
            <w:shd w:val="clear" w:color="auto" w:fill="5B9BD5" w:themeFill="accent1"/>
          </w:tcPr>
          <w:p w14:paraId="6AC7881B" w14:textId="77777777" w:rsidR="0052651E" w:rsidRPr="00BF61CF" w:rsidRDefault="0052651E" w:rsidP="006A4EA1">
            <w:pPr>
              <w:rPr>
                <w:rFonts w:ascii="Times New Roman" w:hAnsi="Times New Roman" w:cs="Times New Roman"/>
                <w:sz w:val="20"/>
              </w:rPr>
            </w:pPr>
            <w:r w:rsidRPr="00BF61CF">
              <w:rPr>
                <w:rFonts w:ascii="Times New Roman" w:hAnsi="Times New Roman" w:cs="Times New Roman"/>
                <w:sz w:val="20"/>
              </w:rPr>
              <w:t>Broj vlakova</w:t>
            </w:r>
          </w:p>
        </w:tc>
        <w:tc>
          <w:tcPr>
            <w:tcW w:w="1276" w:type="dxa"/>
            <w:shd w:val="clear" w:color="auto" w:fill="5B9BD5" w:themeFill="accent1"/>
          </w:tcPr>
          <w:p w14:paraId="03BD7524" w14:textId="77777777" w:rsidR="0052651E" w:rsidRPr="00BF61CF" w:rsidRDefault="0052651E" w:rsidP="006A4EA1">
            <w:pPr>
              <w:rPr>
                <w:rFonts w:ascii="Times New Roman" w:hAnsi="Times New Roman" w:cs="Times New Roman"/>
                <w:sz w:val="20"/>
              </w:rPr>
            </w:pPr>
            <w:r w:rsidRPr="00BF61CF">
              <w:rPr>
                <w:rFonts w:ascii="Times New Roman" w:hAnsi="Times New Roman" w:cs="Times New Roman"/>
                <w:sz w:val="20"/>
              </w:rPr>
              <w:t>Ukupan br. prevezenih putnika</w:t>
            </w:r>
          </w:p>
        </w:tc>
        <w:tc>
          <w:tcPr>
            <w:tcW w:w="1701" w:type="dxa"/>
            <w:shd w:val="clear" w:color="auto" w:fill="5B9BD5" w:themeFill="accent1"/>
          </w:tcPr>
          <w:p w14:paraId="164386F9" w14:textId="77777777" w:rsidR="0052651E" w:rsidRPr="00BF61CF" w:rsidRDefault="0052651E" w:rsidP="00B361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61CF">
              <w:rPr>
                <w:rFonts w:ascii="Times New Roman" w:hAnsi="Times New Roman" w:cs="Times New Roman"/>
                <w:sz w:val="20"/>
              </w:rPr>
              <w:t>Prevezen br. putnika s invaliditetom i smanjenom pokretljivošću</w:t>
            </w:r>
          </w:p>
        </w:tc>
        <w:tc>
          <w:tcPr>
            <w:tcW w:w="992" w:type="dxa"/>
            <w:shd w:val="clear" w:color="auto" w:fill="5B9BD5" w:themeFill="accent1"/>
          </w:tcPr>
          <w:p w14:paraId="379DCE55" w14:textId="77777777" w:rsidR="0052651E" w:rsidRPr="00BF61CF" w:rsidRDefault="0052651E" w:rsidP="006A4E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61CF">
              <w:rPr>
                <w:rFonts w:ascii="Times New Roman" w:hAnsi="Times New Roman" w:cs="Times New Roman"/>
                <w:sz w:val="20"/>
              </w:rPr>
              <w:t>Broj linija po Ugovoru</w:t>
            </w:r>
          </w:p>
        </w:tc>
        <w:tc>
          <w:tcPr>
            <w:tcW w:w="1276" w:type="dxa"/>
            <w:shd w:val="clear" w:color="auto" w:fill="5B9BD5" w:themeFill="accent1"/>
          </w:tcPr>
          <w:p w14:paraId="3C015E7B" w14:textId="77777777" w:rsidR="0052651E" w:rsidRPr="00BF61CF" w:rsidRDefault="0052651E" w:rsidP="006A4EA1">
            <w:pPr>
              <w:rPr>
                <w:rFonts w:ascii="Times New Roman" w:hAnsi="Times New Roman" w:cs="Times New Roman"/>
                <w:sz w:val="20"/>
              </w:rPr>
            </w:pPr>
            <w:r w:rsidRPr="00BF61CF">
              <w:rPr>
                <w:rFonts w:ascii="Times New Roman" w:hAnsi="Times New Roman" w:cs="Times New Roman"/>
                <w:sz w:val="20"/>
              </w:rPr>
              <w:t xml:space="preserve">Ukupan br. stajališta i kolodvora </w:t>
            </w:r>
          </w:p>
        </w:tc>
      </w:tr>
      <w:tr w:rsidR="00EF3A5E" w:rsidRPr="00BF61CF" w14:paraId="2D1C4EEC" w14:textId="77777777" w:rsidTr="00A200BF">
        <w:trPr>
          <w:trHeight w:val="382"/>
        </w:trPr>
        <w:tc>
          <w:tcPr>
            <w:tcW w:w="841" w:type="dxa"/>
            <w:shd w:val="clear" w:color="auto" w:fill="DEEAF6" w:themeFill="accent1" w:themeFillTint="33"/>
          </w:tcPr>
          <w:p w14:paraId="5D3C2A1D" w14:textId="79372AE1" w:rsidR="0052651E" w:rsidRPr="00DD38DF" w:rsidRDefault="005E750E" w:rsidP="00AF1D24">
            <w:pPr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>202</w:t>
            </w:r>
            <w:r w:rsidR="00AF1D24" w:rsidRPr="00DD38DF">
              <w:rPr>
                <w:rFonts w:ascii="Times New Roman" w:hAnsi="Times New Roman" w:cs="Times New Roman"/>
                <w:szCs w:val="24"/>
              </w:rPr>
              <w:t>5</w:t>
            </w:r>
            <w:r w:rsidR="0052651E" w:rsidRPr="00DD38D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82894AB" w14:textId="6B700AA2" w:rsidR="0052651E" w:rsidRPr="00DD38DF" w:rsidRDefault="00AB03F0" w:rsidP="00F02C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>12.</w:t>
            </w:r>
            <w:r w:rsidR="00F02C65" w:rsidRPr="00DD38DF">
              <w:rPr>
                <w:rFonts w:ascii="Times New Roman" w:hAnsi="Times New Roman" w:cs="Times New Roman"/>
                <w:szCs w:val="24"/>
              </w:rPr>
              <w:t>582.869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7DC40CE" w14:textId="4CE74F21" w:rsidR="0052651E" w:rsidRPr="00DD38DF" w:rsidRDefault="00F02C65" w:rsidP="00AB03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>949.302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7AF1320" w14:textId="5F099167" w:rsidR="0052651E" w:rsidRPr="00DD38DF" w:rsidRDefault="00AB03F0" w:rsidP="00F02C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>8</w:t>
            </w:r>
            <w:r w:rsidR="00F02C65" w:rsidRPr="00DD38DF">
              <w:rPr>
                <w:rFonts w:ascii="Times New Roman" w:hAnsi="Times New Roman" w:cs="Times New Roman"/>
                <w:szCs w:val="24"/>
              </w:rPr>
              <w:t>96</w:t>
            </w:r>
            <w:r w:rsidRPr="00DD38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8DE" w:rsidRPr="00DD38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27D88DD" w14:textId="346B09C0" w:rsidR="0052651E" w:rsidRPr="00DD38DF" w:rsidRDefault="00AB03F0" w:rsidP="00F02C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>2</w:t>
            </w:r>
            <w:r w:rsidR="00F02C65" w:rsidRPr="00DD38DF">
              <w:rPr>
                <w:rFonts w:ascii="Times New Roman" w:hAnsi="Times New Roman" w:cs="Times New Roman"/>
                <w:szCs w:val="24"/>
              </w:rPr>
              <w:t>6.303.246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4F8891C" w14:textId="3CC5D9A2" w:rsidR="0052651E" w:rsidRPr="00DD38DF" w:rsidRDefault="002620CA" w:rsidP="00AB03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87736" w:rsidRPr="00DD38DF">
              <w:rPr>
                <w:rFonts w:ascii="Times New Roman" w:hAnsi="Times New Roman" w:cs="Times New Roman"/>
                <w:szCs w:val="24"/>
              </w:rPr>
              <w:t>29.996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DB0D6B4" w14:textId="381EAE82" w:rsidR="0052651E" w:rsidRPr="00DD38DF" w:rsidRDefault="00732278" w:rsidP="005852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>3</w:t>
            </w:r>
            <w:r w:rsidR="00585273" w:rsidRPr="00DD38D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429A7EE" w14:textId="66620267" w:rsidR="0052651E" w:rsidRPr="00DD38DF" w:rsidRDefault="00116484" w:rsidP="00D548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D38DF">
              <w:rPr>
                <w:rFonts w:ascii="Times New Roman" w:hAnsi="Times New Roman" w:cs="Times New Roman"/>
                <w:szCs w:val="24"/>
              </w:rPr>
              <w:t>481</w:t>
            </w:r>
          </w:p>
        </w:tc>
      </w:tr>
    </w:tbl>
    <w:p w14:paraId="320C7812" w14:textId="77777777" w:rsidR="0052651E" w:rsidRPr="00BF61CF" w:rsidRDefault="0052651E" w:rsidP="004912BF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14:paraId="23671731" w14:textId="58C5C55E" w:rsidR="0052651E" w:rsidRPr="00DD38DF" w:rsidRDefault="00881BC5" w:rsidP="00170D83">
      <w:pPr>
        <w:tabs>
          <w:tab w:val="left" w:pos="68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navedenih parametara iz Tablice</w:t>
      </w:r>
      <w:r w:rsidR="004A6398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– Godišnje izvješće za </w:t>
      </w:r>
      <w:r w:rsidR="006E4B2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02C6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– naturalni pokazatelji, ukupan broj </w:t>
      </w:r>
      <w:r w:rsidR="00DE38E2">
        <w:rPr>
          <w:rFonts w:ascii="Times New Roman" w:eastAsia="Times New Roman" w:hAnsi="Times New Roman" w:cs="Times New Roman"/>
          <w:sz w:val="24"/>
          <w:szCs w:val="24"/>
          <w:lang w:eastAsia="hr-HR"/>
        </w:rPr>
        <w:t>odvezenih</w:t>
      </w:r>
      <w:r w:rsidR="00DE38E2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vlak kilometara u </w:t>
      </w:r>
      <w:r w:rsidR="007F06A7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02C6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iznosio je </w:t>
      </w:r>
      <w:r w:rsidR="00F02C65" w:rsidRPr="00DD38DF">
        <w:rPr>
          <w:rFonts w:ascii="Times New Roman" w:hAnsi="Times New Roman" w:cs="Times New Roman"/>
          <w:szCs w:val="24"/>
        </w:rPr>
        <w:t>12.582.869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376F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vlak/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km, dok je odvezenih supstitucija bus kilometara bilo u iznosu od </w:t>
      </w:r>
      <w:r w:rsidR="00F02C65" w:rsidRPr="00DD38DF">
        <w:rPr>
          <w:rFonts w:ascii="Times New Roman" w:hAnsi="Times New Roman" w:cs="Times New Roman"/>
          <w:szCs w:val="24"/>
        </w:rPr>
        <w:t>949.302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Broj putničkih vlakova koji su prometovali na području Republike Hrvatske u </w:t>
      </w:r>
      <w:r w:rsidR="00E7559D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02C6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iznosio je </w:t>
      </w:r>
      <w:r w:rsidR="003E1F8C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02C6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2F589F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7559D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kojih </w:t>
      </w:r>
      <w:r w:rsidR="00F32B7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Ugovoru br. 1/2019/DP-HŽPP prometoval</w:t>
      </w:r>
      <w:r w:rsidR="00F32B75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35A8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103</w:t>
      </w:r>
      <w:r w:rsidR="005B257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710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motorn</w:t>
      </w:r>
      <w:r w:rsidR="00804C1C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8710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8A0F4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78710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="00804C1C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774628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čega </w:t>
      </w:r>
      <w:r w:rsidR="005B257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04C1C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B257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dizel-motorn</w:t>
      </w:r>
      <w:r w:rsidR="00AB32B1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vlak</w:t>
      </w:r>
      <w:r w:rsidR="00AB32B1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AB32B1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5B257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elektromotorni</w:t>
      </w:r>
      <w:r w:rsidR="00893C1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vlak</w:t>
      </w:r>
      <w:r w:rsidR="00893C1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Ukupan broj dizel-motornih i elektromotornih vlakova koji prometuju na području Republike Hrvatske sukladno Ugovoru br. 1/2019/DP-HŽPP je </w:t>
      </w:r>
      <w:r w:rsidR="00626111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E7320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626111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vlak</w:t>
      </w:r>
      <w:r w:rsidR="00406EE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kojih </w:t>
      </w:r>
      <w:r w:rsidR="00DA7683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26E7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2E7320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70</w:t>
      </w:r>
      <w:r w:rsidR="00626111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3BA3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niskopodn</w:t>
      </w:r>
      <w:r w:rsidR="00CB15B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AD26C9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926F7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vlakova</w:t>
      </w:r>
      <w:r w:rsidR="00A3376F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Ukupan broj prevezenih putnika u željezničkom prometu u </w:t>
      </w:r>
      <w:r w:rsidR="00E936E9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C7E5F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iznosio je </w:t>
      </w:r>
      <w:r w:rsidR="00F02C65" w:rsidRPr="00DD38DF">
        <w:rPr>
          <w:rFonts w:ascii="Times New Roman" w:hAnsi="Times New Roman" w:cs="Times New Roman"/>
          <w:szCs w:val="24"/>
        </w:rPr>
        <w:t>26.303.246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putnika od kojih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za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osobe s invaliditetom i osobe smanjene pokretljivosti osigura</w:t>
      </w:r>
      <w:r w:rsidR="00852F46">
        <w:rPr>
          <w:rFonts w:ascii="Times New Roman" w:eastAsia="Times New Roman" w:hAnsi="Times New Roman" w:cs="Times New Roman"/>
          <w:sz w:val="24"/>
          <w:szCs w:val="24"/>
          <w:lang w:eastAsia="hr-HR"/>
        </w:rPr>
        <w:t>lo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0B54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29,10</w:t>
      </w:r>
      <w:r w:rsidR="006A4E4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4E4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putničkog prostora </w:t>
      </w:r>
      <w:r w:rsidR="00565AD0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D526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aktivni</w:t>
      </w:r>
      <w:r w:rsidR="00443F03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BD526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željeznički</w:t>
      </w:r>
      <w:r w:rsidR="00443F03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BD526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</w:t>
      </w:r>
      <w:r w:rsidR="00443F03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="00BD526B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prevezeno je </w:t>
      </w:r>
      <w:r w:rsidR="009A09C3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29.996</w:t>
      </w:r>
      <w:r w:rsidR="007B793C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DD38DF">
        <w:rPr>
          <w:rFonts w:ascii="Times New Roman" w:eastAsia="Times New Roman" w:hAnsi="Times New Roman" w:cs="Times New Roman"/>
          <w:sz w:val="24"/>
          <w:szCs w:val="24"/>
          <w:lang w:eastAsia="hr-HR"/>
        </w:rPr>
        <w:t>osoba.</w:t>
      </w:r>
    </w:p>
    <w:p w14:paraId="44F185AC" w14:textId="77777777" w:rsidR="00BD526B" w:rsidRPr="00BF61CF" w:rsidRDefault="00BD526B" w:rsidP="00170D83">
      <w:pPr>
        <w:tabs>
          <w:tab w:val="left" w:pos="68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A1ED48" w14:textId="37E0D2D7" w:rsidR="00BA5B36" w:rsidRPr="00BF61CF" w:rsidRDefault="0052651E" w:rsidP="00BA5B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>Budući da je željeznički promet radi dotrajalosti infrastrukture u dosta nepovoljnijem položa</w:t>
      </w:r>
      <w:r w:rsidR="007B793C" w:rsidRPr="00BF61CF">
        <w:rPr>
          <w:rFonts w:ascii="Times New Roman" w:hAnsi="Times New Roman" w:cs="Times New Roman"/>
          <w:sz w:val="24"/>
          <w:szCs w:val="24"/>
        </w:rPr>
        <w:t xml:space="preserve">ju </w:t>
      </w:r>
      <w:r w:rsidR="00222F19" w:rsidRPr="00BF61CF">
        <w:rPr>
          <w:rFonts w:ascii="Times New Roman" w:hAnsi="Times New Roman" w:cs="Times New Roman"/>
          <w:sz w:val="24"/>
          <w:szCs w:val="24"/>
        </w:rPr>
        <w:t>u odnosu na</w:t>
      </w:r>
      <w:r w:rsidR="007B793C" w:rsidRPr="00BF61CF">
        <w:rPr>
          <w:rFonts w:ascii="Times New Roman" w:hAnsi="Times New Roman" w:cs="Times New Roman"/>
          <w:sz w:val="24"/>
          <w:szCs w:val="24"/>
        </w:rPr>
        <w:t xml:space="preserve"> cestovn</w:t>
      </w:r>
      <w:r w:rsidR="00A3376F" w:rsidRPr="00BF61CF">
        <w:rPr>
          <w:rFonts w:ascii="Times New Roman" w:hAnsi="Times New Roman" w:cs="Times New Roman"/>
          <w:sz w:val="24"/>
          <w:szCs w:val="24"/>
        </w:rPr>
        <w:t>i promet i cestovnu</w:t>
      </w:r>
      <w:r w:rsidR="00222F19" w:rsidRPr="00BF61CF">
        <w:rPr>
          <w:rFonts w:ascii="Times New Roman" w:hAnsi="Times New Roman" w:cs="Times New Roman"/>
          <w:sz w:val="24"/>
          <w:szCs w:val="24"/>
        </w:rPr>
        <w:t xml:space="preserve"> infrastrukturu</w:t>
      </w:r>
      <w:r w:rsidR="007B793C" w:rsidRPr="00BF61CF">
        <w:rPr>
          <w:rFonts w:ascii="Times New Roman" w:hAnsi="Times New Roman" w:cs="Times New Roman"/>
          <w:sz w:val="24"/>
          <w:szCs w:val="24"/>
        </w:rPr>
        <w:t>, što</w:t>
      </w:r>
      <w:r w:rsidRPr="00BF61CF">
        <w:rPr>
          <w:rFonts w:ascii="Times New Roman" w:hAnsi="Times New Roman" w:cs="Times New Roman"/>
          <w:sz w:val="24"/>
          <w:szCs w:val="24"/>
        </w:rPr>
        <w:t xml:space="preserve"> </w:t>
      </w:r>
      <w:r w:rsidR="00A3376F" w:rsidRPr="00BF61CF">
        <w:rPr>
          <w:rFonts w:ascii="Times New Roman" w:hAnsi="Times New Roman" w:cs="Times New Roman"/>
          <w:sz w:val="24"/>
          <w:szCs w:val="24"/>
        </w:rPr>
        <w:t>znatno utječe na</w:t>
      </w:r>
      <w:r w:rsidRPr="00BF61CF">
        <w:rPr>
          <w:rFonts w:ascii="Times New Roman" w:hAnsi="Times New Roman" w:cs="Times New Roman"/>
          <w:sz w:val="24"/>
          <w:szCs w:val="24"/>
        </w:rPr>
        <w:t xml:space="preserve"> ponuđene prometne usluge korisnicima, Vlada Republike Hrvatske je</w:t>
      </w:r>
      <w:r w:rsidR="00E22B49">
        <w:rPr>
          <w:rFonts w:ascii="Times New Roman" w:hAnsi="Times New Roman" w:cs="Times New Roman"/>
          <w:sz w:val="24"/>
          <w:szCs w:val="24"/>
        </w:rPr>
        <w:t>,</w:t>
      </w:r>
      <w:r w:rsidRPr="00BF61CF">
        <w:rPr>
          <w:rFonts w:ascii="Times New Roman" w:hAnsi="Times New Roman" w:cs="Times New Roman"/>
          <w:sz w:val="24"/>
          <w:szCs w:val="24"/>
        </w:rPr>
        <w:t xml:space="preserve"> kako bi </w:t>
      </w:r>
      <w:r w:rsidR="00222F19" w:rsidRPr="00BF61CF">
        <w:rPr>
          <w:rFonts w:ascii="Times New Roman" w:hAnsi="Times New Roman" w:cs="Times New Roman"/>
          <w:sz w:val="24"/>
          <w:szCs w:val="24"/>
        </w:rPr>
        <w:t xml:space="preserve">približila željeznički prijevoz korisnicima, </w:t>
      </w:r>
      <w:r w:rsidRPr="00BF61CF">
        <w:rPr>
          <w:rFonts w:ascii="Times New Roman" w:hAnsi="Times New Roman" w:cs="Times New Roman"/>
          <w:sz w:val="24"/>
          <w:szCs w:val="24"/>
        </w:rPr>
        <w:t>povećala mobilnost stanovništva, unaprijedila kvalitetu života</w:t>
      </w:r>
      <w:r w:rsidR="000C308C" w:rsidRPr="00BF61CF">
        <w:rPr>
          <w:rFonts w:ascii="Times New Roman" w:hAnsi="Times New Roman" w:cs="Times New Roman"/>
          <w:sz w:val="24"/>
          <w:szCs w:val="24"/>
        </w:rPr>
        <w:t xml:space="preserve"> te</w:t>
      </w:r>
      <w:r w:rsidRPr="00BF61CF">
        <w:rPr>
          <w:rFonts w:ascii="Times New Roman" w:hAnsi="Times New Roman" w:cs="Times New Roman"/>
          <w:sz w:val="24"/>
          <w:szCs w:val="24"/>
        </w:rPr>
        <w:t xml:space="preserve"> podigla standard građana</w:t>
      </w:r>
      <w:r w:rsidR="000C308C" w:rsidRPr="00BF61CF">
        <w:rPr>
          <w:rFonts w:ascii="Times New Roman" w:hAnsi="Times New Roman" w:cs="Times New Roman"/>
          <w:sz w:val="24"/>
          <w:szCs w:val="24"/>
        </w:rPr>
        <w:t>,</w:t>
      </w:r>
      <w:r w:rsidRPr="00BF61CF">
        <w:rPr>
          <w:rFonts w:ascii="Times New Roman" w:hAnsi="Times New Roman" w:cs="Times New Roman"/>
          <w:sz w:val="24"/>
          <w:szCs w:val="24"/>
        </w:rPr>
        <w:t xml:space="preserve"> </w:t>
      </w:r>
      <w:r w:rsidR="007B793C" w:rsidRPr="00BF61CF">
        <w:rPr>
          <w:rFonts w:ascii="Times New Roman" w:hAnsi="Times New Roman" w:cs="Times New Roman"/>
          <w:sz w:val="24"/>
          <w:szCs w:val="24"/>
        </w:rPr>
        <w:t xml:space="preserve">donijela </w:t>
      </w:r>
      <w:r w:rsidR="000E31CD" w:rsidRPr="00BF61CF">
        <w:rPr>
          <w:rFonts w:ascii="Times New Roman" w:hAnsi="Times New Roman" w:cs="Times New Roman"/>
          <w:sz w:val="24"/>
          <w:szCs w:val="24"/>
        </w:rPr>
        <w:t>Program</w:t>
      </w:r>
      <w:r w:rsidRPr="00BF61CF">
        <w:rPr>
          <w:rFonts w:ascii="Times New Roman" w:hAnsi="Times New Roman" w:cs="Times New Roman"/>
          <w:sz w:val="24"/>
          <w:szCs w:val="24"/>
        </w:rPr>
        <w:t xml:space="preserve"> Vlade Republike Hrvatske za razdoblje od 2020</w:t>
      </w:r>
      <w:r w:rsidR="005610C5" w:rsidRPr="00BF61CF">
        <w:rPr>
          <w:rFonts w:ascii="Times New Roman" w:hAnsi="Times New Roman" w:cs="Times New Roman"/>
          <w:sz w:val="24"/>
          <w:szCs w:val="24"/>
        </w:rPr>
        <w:t>.</w:t>
      </w:r>
      <w:r w:rsidRPr="00BF61CF">
        <w:rPr>
          <w:rFonts w:ascii="Times New Roman" w:hAnsi="Times New Roman" w:cs="Times New Roman"/>
          <w:sz w:val="24"/>
          <w:szCs w:val="24"/>
        </w:rPr>
        <w:t>-202</w:t>
      </w:r>
      <w:r w:rsidR="008B0329">
        <w:rPr>
          <w:rFonts w:ascii="Times New Roman" w:hAnsi="Times New Roman" w:cs="Times New Roman"/>
          <w:sz w:val="24"/>
          <w:szCs w:val="24"/>
        </w:rPr>
        <w:t>5</w:t>
      </w:r>
      <w:r w:rsidRPr="00BF61CF">
        <w:rPr>
          <w:rFonts w:ascii="Times New Roman" w:hAnsi="Times New Roman" w:cs="Times New Roman"/>
          <w:sz w:val="24"/>
          <w:szCs w:val="24"/>
        </w:rPr>
        <w:t xml:space="preserve">. godine. </w:t>
      </w:r>
      <w:r w:rsidR="00B36142" w:rsidRPr="00BF61CF">
        <w:rPr>
          <w:rFonts w:ascii="Times New Roman" w:hAnsi="Times New Roman" w:cs="Times New Roman"/>
          <w:sz w:val="24"/>
          <w:szCs w:val="24"/>
        </w:rPr>
        <w:t>Programom</w:t>
      </w:r>
      <w:r w:rsidRPr="00BF61CF">
        <w:rPr>
          <w:rFonts w:ascii="Times New Roman" w:hAnsi="Times New Roman" w:cs="Times New Roman"/>
          <w:sz w:val="24"/>
          <w:szCs w:val="24"/>
        </w:rPr>
        <w:t xml:space="preserve"> Vlade Republike Hrvatske dogovoren je </w:t>
      </w:r>
      <w:r w:rsidR="00B36142" w:rsidRPr="00BF61CF">
        <w:rPr>
          <w:rFonts w:ascii="Times New Roman" w:hAnsi="Times New Roman" w:cs="Times New Roman"/>
          <w:sz w:val="24"/>
          <w:szCs w:val="24"/>
        </w:rPr>
        <w:t>skup mjera</w:t>
      </w:r>
      <w:r w:rsidRPr="00BF61CF">
        <w:rPr>
          <w:rFonts w:ascii="Times New Roman" w:hAnsi="Times New Roman" w:cs="Times New Roman"/>
          <w:sz w:val="24"/>
          <w:szCs w:val="24"/>
        </w:rPr>
        <w:t xml:space="preserve"> koje imaju za cilj ostvarenje oporavka ekonomskog suvereniteta Republike Hrvatske. U sklopu jedne od mjera dogovoren je </w:t>
      </w:r>
      <w:r w:rsidRPr="00DD38DF">
        <w:rPr>
          <w:rFonts w:ascii="Times New Roman" w:hAnsi="Times New Roman" w:cs="Times New Roman"/>
          <w:sz w:val="24"/>
          <w:szCs w:val="24"/>
        </w:rPr>
        <w:t>i projekt besplatnog javnog željezničkog prijevoza djece i učenika osnovnih i srednjih škola, koji bi pridonio povećanju mobilnosti djece i učenika</w:t>
      </w:r>
      <w:r w:rsidR="00B36142" w:rsidRPr="00DD38DF">
        <w:rPr>
          <w:rFonts w:ascii="Times New Roman" w:hAnsi="Times New Roman" w:cs="Times New Roman"/>
          <w:sz w:val="24"/>
          <w:szCs w:val="24"/>
        </w:rPr>
        <w:t>,</w:t>
      </w:r>
      <w:r w:rsidRPr="00DD38DF">
        <w:rPr>
          <w:rFonts w:ascii="Times New Roman" w:hAnsi="Times New Roman" w:cs="Times New Roman"/>
          <w:sz w:val="24"/>
          <w:szCs w:val="24"/>
        </w:rPr>
        <w:t xml:space="preserve"> kao i zaustavljanju iseljavanja mladih obitelji</w:t>
      </w:r>
      <w:r w:rsidR="00B36142" w:rsidRPr="00DD38DF">
        <w:rPr>
          <w:rFonts w:ascii="Times New Roman" w:hAnsi="Times New Roman" w:cs="Times New Roman"/>
          <w:sz w:val="24"/>
          <w:szCs w:val="24"/>
        </w:rPr>
        <w:t xml:space="preserve"> iz Republike Hrvatske</w:t>
      </w:r>
      <w:r w:rsidRPr="00DD38DF">
        <w:rPr>
          <w:rFonts w:ascii="Times New Roman" w:hAnsi="Times New Roman" w:cs="Times New Roman"/>
          <w:sz w:val="24"/>
          <w:szCs w:val="24"/>
        </w:rPr>
        <w:t xml:space="preserve">. </w:t>
      </w:r>
      <w:r w:rsidR="00DD38DF" w:rsidRPr="00DD38DF">
        <w:rPr>
          <w:rFonts w:ascii="Times New Roman" w:hAnsi="Times New Roman" w:cs="Times New Roman"/>
          <w:sz w:val="24"/>
          <w:szCs w:val="24"/>
        </w:rPr>
        <w:t>P</w:t>
      </w:r>
      <w:r w:rsidRPr="00DD38DF">
        <w:rPr>
          <w:rFonts w:ascii="Times New Roman" w:hAnsi="Times New Roman" w:cs="Times New Roman"/>
          <w:sz w:val="24"/>
          <w:szCs w:val="24"/>
        </w:rPr>
        <w:t>rojekt</w:t>
      </w:r>
      <w:r w:rsidR="00E95696" w:rsidRPr="00DD38DF">
        <w:rPr>
          <w:rFonts w:ascii="Times New Roman" w:hAnsi="Times New Roman" w:cs="Times New Roman"/>
          <w:sz w:val="24"/>
          <w:szCs w:val="24"/>
        </w:rPr>
        <w:t xml:space="preserve">om </w:t>
      </w:r>
      <w:r w:rsidR="00BA5B36" w:rsidRPr="00DD38DF">
        <w:rPr>
          <w:rFonts w:ascii="Times New Roman" w:hAnsi="Times New Roman" w:cs="Times New Roman"/>
          <w:sz w:val="24"/>
          <w:szCs w:val="24"/>
        </w:rPr>
        <w:t xml:space="preserve"> </w:t>
      </w:r>
      <w:r w:rsidR="00673B75" w:rsidRPr="00DD38DF">
        <w:rPr>
          <w:rFonts w:ascii="Times New Roman" w:hAnsi="Times New Roman" w:cs="Times New Roman"/>
          <w:sz w:val="24"/>
          <w:szCs w:val="24"/>
        </w:rPr>
        <w:t xml:space="preserve">se </w:t>
      </w:r>
      <w:r w:rsidR="00E95696" w:rsidRPr="00DD38DF">
        <w:rPr>
          <w:rFonts w:ascii="Times New Roman" w:hAnsi="Times New Roman" w:cs="Times New Roman"/>
          <w:sz w:val="24"/>
          <w:szCs w:val="24"/>
        </w:rPr>
        <w:t>osigurava</w:t>
      </w:r>
      <w:r w:rsidRPr="00DD38DF">
        <w:rPr>
          <w:rFonts w:ascii="Times New Roman" w:hAnsi="Times New Roman" w:cs="Times New Roman"/>
          <w:sz w:val="24"/>
          <w:szCs w:val="24"/>
        </w:rPr>
        <w:t xml:space="preserve"> </w:t>
      </w:r>
      <w:r w:rsidR="008F4109" w:rsidRPr="00DD38DF">
        <w:rPr>
          <w:rFonts w:ascii="Times New Roman" w:hAnsi="Times New Roman" w:cs="Times New Roman"/>
          <w:sz w:val="24"/>
          <w:szCs w:val="24"/>
        </w:rPr>
        <w:t>besplat</w:t>
      </w:r>
      <w:r w:rsidR="00011EEE" w:rsidRPr="00DD38DF">
        <w:rPr>
          <w:rFonts w:ascii="Times New Roman" w:hAnsi="Times New Roman" w:cs="Times New Roman"/>
          <w:sz w:val="24"/>
          <w:szCs w:val="24"/>
        </w:rPr>
        <w:t xml:space="preserve">an </w:t>
      </w:r>
      <w:r w:rsidRPr="00DD38DF">
        <w:rPr>
          <w:rFonts w:ascii="Times New Roman" w:hAnsi="Times New Roman" w:cs="Times New Roman"/>
          <w:sz w:val="24"/>
          <w:szCs w:val="24"/>
        </w:rPr>
        <w:t>prijevoz vlakom za djecu, učenike osnovnih i srednjih škola na području cijele Republike Hrvatske</w:t>
      </w:r>
      <w:r w:rsidR="00B36142" w:rsidRPr="00DD38DF">
        <w:rPr>
          <w:rFonts w:ascii="Times New Roman" w:hAnsi="Times New Roman" w:cs="Times New Roman"/>
          <w:sz w:val="24"/>
          <w:szCs w:val="24"/>
        </w:rPr>
        <w:t>,</w:t>
      </w:r>
      <w:r w:rsidRPr="00DD38DF">
        <w:rPr>
          <w:rFonts w:ascii="Times New Roman" w:hAnsi="Times New Roman" w:cs="Times New Roman"/>
          <w:sz w:val="24"/>
          <w:szCs w:val="24"/>
        </w:rPr>
        <w:t xml:space="preserve"> </w:t>
      </w:r>
      <w:r w:rsidR="00BA5B36" w:rsidRPr="00DD38DF">
        <w:rPr>
          <w:rFonts w:ascii="Times New Roman" w:hAnsi="Times New Roman" w:cs="Times New Roman"/>
          <w:sz w:val="24"/>
          <w:szCs w:val="24"/>
        </w:rPr>
        <w:t xml:space="preserve">a provodi se </w:t>
      </w:r>
      <w:r w:rsidRPr="00DD38DF">
        <w:rPr>
          <w:rFonts w:ascii="Times New Roman" w:hAnsi="Times New Roman" w:cs="Times New Roman"/>
          <w:sz w:val="24"/>
          <w:szCs w:val="24"/>
        </w:rPr>
        <w:t xml:space="preserve">u vremenskom </w:t>
      </w:r>
      <w:r w:rsidR="002C4C10" w:rsidRPr="00DD38DF">
        <w:rPr>
          <w:rFonts w:ascii="Times New Roman" w:hAnsi="Times New Roman" w:cs="Times New Roman"/>
          <w:sz w:val="24"/>
          <w:szCs w:val="24"/>
        </w:rPr>
        <w:t xml:space="preserve">razdoblju </w:t>
      </w:r>
      <w:r w:rsidRPr="00DD38DF">
        <w:rPr>
          <w:rFonts w:ascii="Times New Roman" w:hAnsi="Times New Roman" w:cs="Times New Roman"/>
          <w:sz w:val="24"/>
          <w:szCs w:val="24"/>
        </w:rPr>
        <w:t>od 1. listopada 2021. do 31. prosinca 202</w:t>
      </w:r>
      <w:r w:rsidR="008B0329" w:rsidRPr="00DD38DF">
        <w:rPr>
          <w:rFonts w:ascii="Times New Roman" w:hAnsi="Times New Roman" w:cs="Times New Roman"/>
          <w:sz w:val="24"/>
          <w:szCs w:val="24"/>
        </w:rPr>
        <w:t>5</w:t>
      </w:r>
      <w:r w:rsidRPr="00DD38DF">
        <w:rPr>
          <w:rFonts w:ascii="Times New Roman" w:hAnsi="Times New Roman" w:cs="Times New Roman"/>
          <w:sz w:val="24"/>
          <w:szCs w:val="24"/>
        </w:rPr>
        <w:t>. god</w:t>
      </w:r>
      <w:r w:rsidRPr="00BF61CF">
        <w:rPr>
          <w:rFonts w:ascii="Times New Roman" w:hAnsi="Times New Roman" w:cs="Times New Roman"/>
          <w:sz w:val="24"/>
          <w:szCs w:val="24"/>
        </w:rPr>
        <w:t>ine</w:t>
      </w:r>
      <w:r w:rsidR="00BA5B36" w:rsidRPr="00BF61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1895CE" w14:textId="7D7D059C" w:rsidR="00BA5B36" w:rsidRPr="00591032" w:rsidRDefault="00BA5B36" w:rsidP="00BA5B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 xml:space="preserve">Uz navedeno, u Europskoj godini mladih na temelju Zaključka Vlade </w:t>
      </w:r>
      <w:r w:rsidR="00BD526B" w:rsidRPr="00BF61CF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BF61CF">
        <w:rPr>
          <w:rFonts w:ascii="Times New Roman" w:hAnsi="Times New Roman" w:cs="Times New Roman"/>
          <w:sz w:val="24"/>
          <w:szCs w:val="24"/>
        </w:rPr>
        <w:t xml:space="preserve">od 19. rujna 2022. u razdoblju </w:t>
      </w:r>
      <w:r w:rsidRPr="00DD38DF">
        <w:rPr>
          <w:rFonts w:ascii="Times New Roman" w:hAnsi="Times New Roman" w:cs="Times New Roman"/>
          <w:sz w:val="24"/>
          <w:szCs w:val="24"/>
        </w:rPr>
        <w:t>od 1. listopada 2022. do 3</w:t>
      </w:r>
      <w:r w:rsidR="001B77F4" w:rsidRPr="00DD38DF">
        <w:rPr>
          <w:rFonts w:ascii="Times New Roman" w:hAnsi="Times New Roman" w:cs="Times New Roman"/>
          <w:sz w:val="24"/>
          <w:szCs w:val="24"/>
        </w:rPr>
        <w:t>1</w:t>
      </w:r>
      <w:r w:rsidRPr="00DD38DF">
        <w:rPr>
          <w:rFonts w:ascii="Times New Roman" w:hAnsi="Times New Roman" w:cs="Times New Roman"/>
          <w:sz w:val="24"/>
          <w:szCs w:val="24"/>
        </w:rPr>
        <w:t xml:space="preserve">. </w:t>
      </w:r>
      <w:r w:rsidR="001B77F4" w:rsidRPr="00DD38DF">
        <w:rPr>
          <w:rFonts w:ascii="Times New Roman" w:hAnsi="Times New Roman" w:cs="Times New Roman"/>
          <w:sz w:val="24"/>
          <w:szCs w:val="24"/>
        </w:rPr>
        <w:t>prosinca</w:t>
      </w:r>
      <w:r w:rsidRPr="00DD38DF">
        <w:rPr>
          <w:rFonts w:ascii="Times New Roman" w:hAnsi="Times New Roman" w:cs="Times New Roman"/>
          <w:sz w:val="24"/>
          <w:szCs w:val="24"/>
        </w:rPr>
        <w:t xml:space="preserve"> 202</w:t>
      </w:r>
      <w:r w:rsidR="001B77F4" w:rsidRPr="00DD38DF">
        <w:rPr>
          <w:rFonts w:ascii="Times New Roman" w:hAnsi="Times New Roman" w:cs="Times New Roman"/>
          <w:sz w:val="24"/>
          <w:szCs w:val="24"/>
        </w:rPr>
        <w:t xml:space="preserve">4. </w:t>
      </w:r>
      <w:r w:rsidRPr="00BF61CF">
        <w:rPr>
          <w:rFonts w:ascii="Times New Roman" w:hAnsi="Times New Roman" w:cs="Times New Roman"/>
          <w:sz w:val="24"/>
          <w:szCs w:val="24"/>
        </w:rPr>
        <w:t>godine provodi</w:t>
      </w:r>
      <w:r w:rsidR="00FA12EF">
        <w:rPr>
          <w:rFonts w:ascii="Times New Roman" w:hAnsi="Times New Roman" w:cs="Times New Roman"/>
          <w:sz w:val="24"/>
          <w:szCs w:val="24"/>
        </w:rPr>
        <w:t>o</w:t>
      </w:r>
      <w:r w:rsidRPr="00BF61CF">
        <w:rPr>
          <w:rFonts w:ascii="Times New Roman" w:hAnsi="Times New Roman" w:cs="Times New Roman"/>
          <w:sz w:val="24"/>
          <w:szCs w:val="24"/>
        </w:rPr>
        <w:t xml:space="preserve"> se pilot-projekt povoljnijeg prijevoza redovnih studenata kojim</w:t>
      </w:r>
      <w:r w:rsidR="00BD526B" w:rsidRPr="00BF61CF">
        <w:rPr>
          <w:rFonts w:ascii="Times New Roman" w:hAnsi="Times New Roman" w:cs="Times New Roman"/>
          <w:sz w:val="24"/>
          <w:szCs w:val="24"/>
        </w:rPr>
        <w:t>a</w:t>
      </w:r>
      <w:r w:rsidRPr="00BF61CF">
        <w:rPr>
          <w:rFonts w:ascii="Times New Roman" w:hAnsi="Times New Roman" w:cs="Times New Roman"/>
          <w:sz w:val="24"/>
          <w:szCs w:val="24"/>
        </w:rPr>
        <w:t xml:space="preserve"> se po jedinstvenoj cijeni mjesečne karte od 9,95 </w:t>
      </w:r>
      <w:r w:rsidR="00B5189C">
        <w:rPr>
          <w:rFonts w:ascii="Times New Roman" w:hAnsi="Times New Roman" w:cs="Times New Roman"/>
          <w:sz w:val="24"/>
          <w:szCs w:val="24"/>
        </w:rPr>
        <w:t>eura</w:t>
      </w:r>
      <w:r w:rsidRPr="00BF61CF">
        <w:rPr>
          <w:rFonts w:ascii="Times New Roman" w:hAnsi="Times New Roman" w:cs="Times New Roman"/>
          <w:sz w:val="24"/>
          <w:szCs w:val="24"/>
        </w:rPr>
        <w:t xml:space="preserve"> omogućava</w:t>
      </w:r>
      <w:r w:rsidR="00FA12EF">
        <w:rPr>
          <w:rFonts w:ascii="Times New Roman" w:hAnsi="Times New Roman" w:cs="Times New Roman"/>
          <w:sz w:val="24"/>
          <w:szCs w:val="24"/>
        </w:rPr>
        <w:t>lo</w:t>
      </w:r>
      <w:r w:rsidRPr="00BF61CF">
        <w:rPr>
          <w:rFonts w:ascii="Times New Roman" w:hAnsi="Times New Roman" w:cs="Times New Roman"/>
          <w:sz w:val="24"/>
          <w:szCs w:val="24"/>
        </w:rPr>
        <w:t xml:space="preserve"> neograničeno korištenje željezničkog prijevoza za oko 113.000 redovnih studenata na području Republike Hrvatske. 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S obzirom na iznimno veliki interes studenata za povoljnijim prijevozom, </w:t>
      </w:r>
      <w:r w:rsidR="004561CE">
        <w:rPr>
          <w:rFonts w:ascii="Times New Roman" w:hAnsi="Times New Roman" w:cs="Times New Roman"/>
          <w:sz w:val="24"/>
          <w:szCs w:val="24"/>
        </w:rPr>
        <w:t>jer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cijena prijevoza više n</w:t>
      </w:r>
      <w:r w:rsidR="00564D74">
        <w:rPr>
          <w:rFonts w:ascii="Times New Roman" w:hAnsi="Times New Roman" w:cs="Times New Roman"/>
          <w:sz w:val="24"/>
          <w:szCs w:val="24"/>
        </w:rPr>
        <w:t>ije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ovisi</w:t>
      </w:r>
      <w:r w:rsidR="00564D74">
        <w:rPr>
          <w:rFonts w:ascii="Times New Roman" w:hAnsi="Times New Roman" w:cs="Times New Roman"/>
          <w:sz w:val="24"/>
          <w:szCs w:val="24"/>
        </w:rPr>
        <w:t>la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o relaciji putovanja, studenti </w:t>
      </w:r>
      <w:r w:rsidR="00F1023E">
        <w:rPr>
          <w:rFonts w:ascii="Times New Roman" w:hAnsi="Times New Roman" w:cs="Times New Roman"/>
          <w:sz w:val="24"/>
          <w:szCs w:val="24"/>
        </w:rPr>
        <w:t xml:space="preserve">su </w:t>
      </w:r>
      <w:r w:rsidR="00140658" w:rsidRPr="00BF61CF">
        <w:rPr>
          <w:rFonts w:ascii="Times New Roman" w:hAnsi="Times New Roman" w:cs="Times New Roman"/>
          <w:sz w:val="24"/>
          <w:szCs w:val="24"/>
        </w:rPr>
        <w:t>put</w:t>
      </w:r>
      <w:r w:rsidR="00F1023E">
        <w:rPr>
          <w:rFonts w:ascii="Times New Roman" w:hAnsi="Times New Roman" w:cs="Times New Roman"/>
          <w:sz w:val="24"/>
          <w:szCs w:val="24"/>
        </w:rPr>
        <w:t>ovali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na puno duljim relacijama nego prije</w:t>
      </w:r>
      <w:r w:rsidR="00312135" w:rsidRPr="00BF61CF">
        <w:rPr>
          <w:rFonts w:ascii="Times New Roman" w:hAnsi="Times New Roman" w:cs="Times New Roman"/>
          <w:sz w:val="24"/>
          <w:szCs w:val="24"/>
        </w:rPr>
        <w:t>,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što</w:t>
      </w:r>
      <w:r w:rsidR="00F1023E">
        <w:rPr>
          <w:rFonts w:ascii="Times New Roman" w:hAnsi="Times New Roman" w:cs="Times New Roman"/>
          <w:sz w:val="24"/>
          <w:szCs w:val="24"/>
        </w:rPr>
        <w:t xml:space="preserve"> je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rezultira</w:t>
      </w:r>
      <w:r w:rsidR="00F1023E">
        <w:rPr>
          <w:rFonts w:ascii="Times New Roman" w:hAnsi="Times New Roman" w:cs="Times New Roman"/>
          <w:sz w:val="24"/>
          <w:szCs w:val="24"/>
        </w:rPr>
        <w:t>lo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</w:t>
      </w:r>
      <w:r w:rsidR="00F1023E">
        <w:rPr>
          <w:rFonts w:ascii="Times New Roman" w:hAnsi="Times New Roman" w:cs="Times New Roman"/>
          <w:sz w:val="24"/>
          <w:szCs w:val="24"/>
        </w:rPr>
        <w:t>velikim</w:t>
      </w:r>
      <w:r w:rsidR="00F1023E" w:rsidRPr="00BF61CF">
        <w:rPr>
          <w:rFonts w:ascii="Times New Roman" w:hAnsi="Times New Roman" w:cs="Times New Roman"/>
          <w:sz w:val="24"/>
          <w:szCs w:val="24"/>
        </w:rPr>
        <w:t xml:space="preserve"> </w:t>
      </w:r>
      <w:r w:rsidR="00140658" w:rsidRPr="00BF61CF">
        <w:rPr>
          <w:rFonts w:ascii="Times New Roman" w:hAnsi="Times New Roman" w:cs="Times New Roman"/>
          <w:sz w:val="24"/>
          <w:szCs w:val="24"/>
        </w:rPr>
        <w:t>povećanjem broja putnika</w:t>
      </w:r>
      <w:r w:rsidR="00A90DB4">
        <w:rPr>
          <w:rFonts w:ascii="Times New Roman" w:hAnsi="Times New Roman" w:cs="Times New Roman"/>
          <w:sz w:val="24"/>
          <w:szCs w:val="24"/>
        </w:rPr>
        <w:t>.</w:t>
      </w:r>
      <w:r w:rsidR="0026126A">
        <w:rPr>
          <w:rFonts w:ascii="Times New Roman" w:hAnsi="Times New Roman" w:cs="Times New Roman"/>
          <w:sz w:val="24"/>
          <w:szCs w:val="24"/>
        </w:rPr>
        <w:t>.</w:t>
      </w:r>
      <w:r w:rsidR="00140658" w:rsidRPr="00BF61CF">
        <w:rPr>
          <w:rFonts w:ascii="Times New Roman" w:hAnsi="Times New Roman" w:cs="Times New Roman"/>
          <w:sz w:val="24"/>
          <w:szCs w:val="24"/>
        </w:rPr>
        <w:t xml:space="preserve"> </w:t>
      </w:r>
      <w:r w:rsidR="0083453C">
        <w:rPr>
          <w:rFonts w:ascii="Times New Roman" w:hAnsi="Times New Roman" w:cs="Times New Roman"/>
          <w:sz w:val="24"/>
          <w:szCs w:val="24"/>
        </w:rPr>
        <w:t>Nadalje,</w:t>
      </w:r>
      <w:r w:rsidR="00FF1829">
        <w:rPr>
          <w:rFonts w:ascii="Times New Roman" w:hAnsi="Times New Roman" w:cs="Times New Roman"/>
          <w:sz w:val="24"/>
          <w:szCs w:val="24"/>
        </w:rPr>
        <w:t xml:space="preserve"> na temelju Zaključka Vlade </w:t>
      </w:r>
      <w:r w:rsidR="00466626">
        <w:rPr>
          <w:rFonts w:ascii="Times New Roman" w:hAnsi="Times New Roman" w:cs="Times New Roman"/>
          <w:sz w:val="24"/>
          <w:szCs w:val="24"/>
        </w:rPr>
        <w:t>R</w:t>
      </w:r>
      <w:r w:rsidR="00FF1829">
        <w:rPr>
          <w:rFonts w:ascii="Times New Roman" w:hAnsi="Times New Roman" w:cs="Times New Roman"/>
          <w:sz w:val="24"/>
          <w:szCs w:val="24"/>
        </w:rPr>
        <w:t xml:space="preserve">epublike Hrvatske od </w:t>
      </w:r>
      <w:r w:rsidR="00FF1829" w:rsidRPr="00DD38DF">
        <w:rPr>
          <w:rFonts w:ascii="Times New Roman" w:hAnsi="Times New Roman" w:cs="Times New Roman"/>
          <w:sz w:val="24"/>
          <w:szCs w:val="24"/>
        </w:rPr>
        <w:t xml:space="preserve">27. </w:t>
      </w:r>
      <w:r w:rsidR="005C70ED" w:rsidRPr="00DD38DF">
        <w:rPr>
          <w:rFonts w:ascii="Times New Roman" w:hAnsi="Times New Roman" w:cs="Times New Roman"/>
          <w:sz w:val="24"/>
          <w:szCs w:val="24"/>
        </w:rPr>
        <w:t>prosinca 2</w:t>
      </w:r>
      <w:r w:rsidR="00FF1829" w:rsidRPr="00DD38DF">
        <w:rPr>
          <w:rFonts w:ascii="Times New Roman" w:hAnsi="Times New Roman" w:cs="Times New Roman"/>
          <w:sz w:val="24"/>
          <w:szCs w:val="24"/>
        </w:rPr>
        <w:t>02</w:t>
      </w:r>
      <w:r w:rsidR="005C70ED" w:rsidRPr="00DD38DF">
        <w:rPr>
          <w:rFonts w:ascii="Times New Roman" w:hAnsi="Times New Roman" w:cs="Times New Roman"/>
          <w:sz w:val="24"/>
          <w:szCs w:val="24"/>
        </w:rPr>
        <w:t>4.</w:t>
      </w:r>
      <w:r w:rsidR="00FF1829" w:rsidRPr="00524D64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FF1829" w:rsidRPr="00524D64">
        <w:rPr>
          <w:rFonts w:ascii="Times New Roman" w:hAnsi="Times New Roman" w:cs="Times New Roman"/>
          <w:sz w:val="24"/>
          <w:szCs w:val="24"/>
        </w:rPr>
        <w:t>godine</w:t>
      </w:r>
      <w:r w:rsidR="00FF1829">
        <w:rPr>
          <w:rFonts w:ascii="Times New Roman" w:hAnsi="Times New Roman" w:cs="Times New Roman"/>
          <w:sz w:val="24"/>
          <w:szCs w:val="24"/>
        </w:rPr>
        <w:t xml:space="preserve"> u razdoblju od 1. </w:t>
      </w:r>
      <w:r w:rsidR="005C70ED">
        <w:rPr>
          <w:rFonts w:ascii="Times New Roman" w:hAnsi="Times New Roman" w:cs="Times New Roman"/>
          <w:sz w:val="24"/>
          <w:szCs w:val="24"/>
        </w:rPr>
        <w:t xml:space="preserve">siječnja </w:t>
      </w:r>
      <w:r w:rsidR="00FF1829">
        <w:rPr>
          <w:rFonts w:ascii="Times New Roman" w:hAnsi="Times New Roman" w:cs="Times New Roman"/>
          <w:sz w:val="24"/>
          <w:szCs w:val="24"/>
        </w:rPr>
        <w:t>do 31. prosinca 202</w:t>
      </w:r>
      <w:r w:rsidR="00396D48">
        <w:rPr>
          <w:rFonts w:ascii="Times New Roman" w:hAnsi="Times New Roman" w:cs="Times New Roman"/>
          <w:sz w:val="24"/>
          <w:szCs w:val="24"/>
        </w:rPr>
        <w:t>5</w:t>
      </w:r>
      <w:r w:rsidR="00FF1829">
        <w:rPr>
          <w:rFonts w:ascii="Times New Roman" w:hAnsi="Times New Roman" w:cs="Times New Roman"/>
          <w:sz w:val="24"/>
          <w:szCs w:val="24"/>
        </w:rPr>
        <w:t xml:space="preserve">. godine </w:t>
      </w:r>
      <w:r w:rsidR="00C764CA" w:rsidRPr="00591032">
        <w:rPr>
          <w:rFonts w:ascii="Times New Roman" w:hAnsi="Times New Roman" w:cs="Times New Roman"/>
          <w:sz w:val="24"/>
          <w:szCs w:val="24"/>
        </w:rPr>
        <w:t>uv</w:t>
      </w:r>
      <w:r w:rsidR="0083453C" w:rsidRPr="00591032">
        <w:rPr>
          <w:rFonts w:ascii="Times New Roman" w:hAnsi="Times New Roman" w:cs="Times New Roman"/>
          <w:sz w:val="24"/>
          <w:szCs w:val="24"/>
        </w:rPr>
        <w:t>eden je</w:t>
      </w:r>
      <w:r w:rsidR="00591032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C764CA" w:rsidRPr="00591032">
        <w:rPr>
          <w:rFonts w:ascii="Times New Roman" w:hAnsi="Times New Roman" w:cs="Times New Roman"/>
          <w:sz w:val="24"/>
          <w:szCs w:val="24"/>
        </w:rPr>
        <w:t xml:space="preserve">besplatan </w:t>
      </w:r>
      <w:r w:rsidR="001569D2" w:rsidRPr="00591032">
        <w:rPr>
          <w:rFonts w:ascii="Times New Roman" w:hAnsi="Times New Roman" w:cs="Times New Roman"/>
          <w:sz w:val="24"/>
          <w:szCs w:val="24"/>
        </w:rPr>
        <w:t>prijevoz</w:t>
      </w:r>
      <w:r w:rsidR="00C764CA" w:rsidRPr="00591032">
        <w:rPr>
          <w:rFonts w:ascii="Times New Roman" w:hAnsi="Times New Roman" w:cs="Times New Roman"/>
          <w:sz w:val="24"/>
          <w:szCs w:val="24"/>
        </w:rPr>
        <w:t xml:space="preserve"> za </w:t>
      </w:r>
      <w:r w:rsidR="001569D2" w:rsidRPr="00591032">
        <w:rPr>
          <w:rFonts w:ascii="Times New Roman" w:hAnsi="Times New Roman" w:cs="Times New Roman"/>
          <w:sz w:val="24"/>
          <w:szCs w:val="24"/>
        </w:rPr>
        <w:t>redovne</w:t>
      </w:r>
      <w:r w:rsidR="00C764CA" w:rsidRPr="00591032">
        <w:rPr>
          <w:rFonts w:ascii="Times New Roman" w:hAnsi="Times New Roman" w:cs="Times New Roman"/>
          <w:sz w:val="24"/>
          <w:szCs w:val="24"/>
        </w:rPr>
        <w:t xml:space="preserve"> studente</w:t>
      </w:r>
      <w:r w:rsidR="001569D2" w:rsidRPr="00591032">
        <w:rPr>
          <w:rFonts w:ascii="Times New Roman" w:hAnsi="Times New Roman" w:cs="Times New Roman"/>
          <w:sz w:val="24"/>
          <w:szCs w:val="24"/>
        </w:rPr>
        <w:t>.</w:t>
      </w:r>
    </w:p>
    <w:p w14:paraId="4D37F7F2" w14:textId="4A394ACA" w:rsidR="00ED1127" w:rsidRPr="00BF61CF" w:rsidRDefault="00A90DB4" w:rsidP="001406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B36" w:rsidRPr="00BF61CF">
        <w:rPr>
          <w:rFonts w:ascii="Times New Roman" w:hAnsi="Times New Roman" w:cs="Times New Roman"/>
          <w:sz w:val="24"/>
          <w:szCs w:val="24"/>
        </w:rPr>
        <w:t>rojekt obuhvaća neograničena svakodnevna putovanja vlakom od mjesta stanovanja do mjesta studiranja i povremena putovanja, kao što su jednodnevni izleti, odlasci liječniku, na ljetovanje i druga putovanja, u 2. razredu redovnih vlakova na području R</w:t>
      </w:r>
      <w:r w:rsidR="00AD26C9" w:rsidRPr="00BF61CF">
        <w:rPr>
          <w:rFonts w:ascii="Times New Roman" w:hAnsi="Times New Roman" w:cs="Times New Roman"/>
          <w:sz w:val="24"/>
          <w:szCs w:val="24"/>
        </w:rPr>
        <w:t xml:space="preserve">epublike </w:t>
      </w:r>
      <w:r w:rsidR="00BA5B36" w:rsidRPr="00BF61CF">
        <w:rPr>
          <w:rFonts w:ascii="Times New Roman" w:hAnsi="Times New Roman" w:cs="Times New Roman"/>
          <w:sz w:val="24"/>
          <w:szCs w:val="24"/>
        </w:rPr>
        <w:t>H</w:t>
      </w:r>
      <w:r w:rsidR="00AD26C9" w:rsidRPr="00BF61CF">
        <w:rPr>
          <w:rFonts w:ascii="Times New Roman" w:hAnsi="Times New Roman" w:cs="Times New Roman"/>
          <w:sz w:val="24"/>
          <w:szCs w:val="24"/>
        </w:rPr>
        <w:t>rvatske</w:t>
      </w:r>
      <w:r w:rsidR="00BA5B36" w:rsidRPr="00BF61CF">
        <w:rPr>
          <w:rFonts w:ascii="Times New Roman" w:hAnsi="Times New Roman" w:cs="Times New Roman"/>
          <w:sz w:val="24"/>
          <w:szCs w:val="24"/>
        </w:rPr>
        <w:t>.</w:t>
      </w:r>
    </w:p>
    <w:p w14:paraId="772FEABC" w14:textId="12F71468" w:rsidR="00BA5B36" w:rsidRPr="00BF61CF" w:rsidRDefault="00BA5B36" w:rsidP="00BA5B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 xml:space="preserve">Realizacija </w:t>
      </w:r>
      <w:r w:rsidR="00611A23">
        <w:rPr>
          <w:rFonts w:ascii="Times New Roman" w:hAnsi="Times New Roman" w:cs="Times New Roman"/>
          <w:sz w:val="24"/>
          <w:szCs w:val="24"/>
        </w:rPr>
        <w:t>projekata besplatnog prijevoza</w:t>
      </w:r>
      <w:r w:rsidRPr="00BF61CF">
        <w:rPr>
          <w:rFonts w:ascii="Times New Roman" w:hAnsi="Times New Roman" w:cs="Times New Roman"/>
          <w:sz w:val="24"/>
          <w:szCs w:val="24"/>
        </w:rPr>
        <w:t xml:space="preserve"> doprinijet će revitalizaciji prometa putničkih vlakova na nerazvijenim područjima, povećanju mobilnosti djece, učenika i studenata, zaustavljanju iseljavanja u urbane sredine i podršci demografskoj revitalizaciji, poboljšanju životnog standarda građana i poticanju korištenja željezničkog prijevoza. Sinergijom </w:t>
      </w:r>
      <w:r w:rsidRPr="00BF61CF">
        <w:rPr>
          <w:rFonts w:ascii="Times New Roman" w:hAnsi="Times New Roman" w:cs="Times New Roman"/>
          <w:sz w:val="24"/>
          <w:szCs w:val="24"/>
        </w:rPr>
        <w:lastRenderedPageBreak/>
        <w:t>željezničkog prometa s ostalim prijevoznim modalitetima znatno će se ojačati i razvoj integriranog prijevoza putnika.</w:t>
      </w:r>
    </w:p>
    <w:p w14:paraId="044D16C0" w14:textId="4087C9EA" w:rsidR="0052651E" w:rsidRPr="00BF61CF" w:rsidRDefault="0052651E" w:rsidP="0052651E">
      <w:pPr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>Tablica 3. - Broj ostvarenih putovanja učenika osnovnih i srednjih škola te studenata za razdoblje 202</w:t>
      </w:r>
      <w:r w:rsidR="008B0329">
        <w:rPr>
          <w:rFonts w:ascii="Times New Roman" w:hAnsi="Times New Roman" w:cs="Times New Roman"/>
          <w:sz w:val="24"/>
          <w:szCs w:val="24"/>
        </w:rPr>
        <w:t>4</w:t>
      </w:r>
      <w:r w:rsidRPr="00BF61CF">
        <w:rPr>
          <w:rFonts w:ascii="Times New Roman" w:hAnsi="Times New Roman" w:cs="Times New Roman"/>
          <w:sz w:val="24"/>
          <w:szCs w:val="24"/>
        </w:rPr>
        <w:t>/202</w:t>
      </w:r>
      <w:r w:rsidR="008B0329">
        <w:rPr>
          <w:rFonts w:ascii="Times New Roman" w:hAnsi="Times New Roman" w:cs="Times New Roman"/>
          <w:sz w:val="24"/>
          <w:szCs w:val="24"/>
        </w:rPr>
        <w:t>5</w:t>
      </w:r>
      <w:r w:rsidRPr="00BF61CF">
        <w:rPr>
          <w:rFonts w:ascii="Times New Roman" w:hAnsi="Times New Roman" w:cs="Times New Roman"/>
          <w:sz w:val="24"/>
          <w:szCs w:val="24"/>
        </w:rPr>
        <w:t>. godin</w:t>
      </w:r>
      <w:r w:rsidR="00B5189C">
        <w:rPr>
          <w:rFonts w:ascii="Times New Roman" w:hAnsi="Times New Roman" w:cs="Times New Roman"/>
          <w:sz w:val="24"/>
          <w:szCs w:val="24"/>
        </w:rPr>
        <w:t>e</w:t>
      </w:r>
      <w:r w:rsidR="00BA5B36" w:rsidRPr="00BF6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B4373" w14:textId="38016BF1" w:rsidR="00887588" w:rsidRDefault="00887588" w:rsidP="00BA5B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760" w:type="dxa"/>
        <w:jc w:val="center"/>
        <w:tblLayout w:type="fixed"/>
        <w:tblLook w:val="04A0" w:firstRow="1" w:lastRow="0" w:firstColumn="1" w:lastColumn="0" w:noHBand="0" w:noVBand="1"/>
      </w:tblPr>
      <w:tblGrid>
        <w:gridCol w:w="2671"/>
        <w:gridCol w:w="1567"/>
        <w:gridCol w:w="1522"/>
      </w:tblGrid>
      <w:tr w:rsidR="00B71A4C" w:rsidRPr="00B71A4C" w14:paraId="12E4AC02" w14:textId="77777777" w:rsidTr="00036343">
        <w:trPr>
          <w:trHeight w:val="795"/>
          <w:jc w:val="center"/>
        </w:trPr>
        <w:tc>
          <w:tcPr>
            <w:tcW w:w="2671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5B9BD5" w:themeFill="accent1"/>
          </w:tcPr>
          <w:p w14:paraId="2D43EF1F" w14:textId="77777777" w:rsidR="00887588" w:rsidRPr="00B71A4C" w:rsidRDefault="00887588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 xml:space="preserve">Broj ostvarenih putovanja </w:t>
            </w:r>
          </w:p>
        </w:tc>
        <w:tc>
          <w:tcPr>
            <w:tcW w:w="156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5B9BD5" w:themeFill="accent1"/>
          </w:tcPr>
          <w:p w14:paraId="22394AC3" w14:textId="77777777" w:rsidR="00887588" w:rsidRPr="00B71A4C" w:rsidRDefault="00887588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>2024.       godina</w:t>
            </w:r>
          </w:p>
        </w:tc>
        <w:tc>
          <w:tcPr>
            <w:tcW w:w="1522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5B9BD5" w:themeFill="accent1"/>
          </w:tcPr>
          <w:p w14:paraId="0AF5CDCB" w14:textId="77777777" w:rsidR="00887588" w:rsidRPr="00B71A4C" w:rsidRDefault="00887588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>2025.       godina</w:t>
            </w:r>
          </w:p>
        </w:tc>
      </w:tr>
      <w:tr w:rsidR="00B71A4C" w:rsidRPr="00B71A4C" w14:paraId="02FC5E05" w14:textId="77777777" w:rsidTr="00036343">
        <w:trPr>
          <w:trHeight w:val="416"/>
          <w:jc w:val="center"/>
        </w:trPr>
        <w:tc>
          <w:tcPr>
            <w:tcW w:w="2671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2ED75E97" w14:textId="1ED247B4" w:rsidR="00887588" w:rsidRPr="00B71A4C" w:rsidRDefault="007A6936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 xml:space="preserve">Djeca, učenici OŠ i </w:t>
            </w:r>
            <w:r w:rsidR="00A210A5" w:rsidRPr="00B71A4C">
              <w:rPr>
                <w:rFonts w:ascii="Times New Roman" w:hAnsi="Times New Roman" w:cs="Times New Roman"/>
                <w:szCs w:val="24"/>
              </w:rPr>
              <w:t xml:space="preserve">učenici </w:t>
            </w:r>
            <w:r w:rsidRPr="00B71A4C">
              <w:rPr>
                <w:rFonts w:ascii="Times New Roman" w:hAnsi="Times New Roman" w:cs="Times New Roman"/>
                <w:szCs w:val="24"/>
              </w:rPr>
              <w:t>SŠ</w:t>
            </w:r>
          </w:p>
        </w:tc>
        <w:tc>
          <w:tcPr>
            <w:tcW w:w="156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E2EFD9" w:themeFill="accent6" w:themeFillTint="33"/>
          </w:tcPr>
          <w:p w14:paraId="175494C9" w14:textId="0E3DC71A" w:rsidR="00887588" w:rsidRPr="00B71A4C" w:rsidRDefault="00036343" w:rsidP="00B71A4C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887588" w:rsidRPr="00B71A4C">
              <w:rPr>
                <w:rFonts w:ascii="Times New Roman" w:hAnsi="Times New Roman" w:cs="Times New Roman"/>
                <w:szCs w:val="24"/>
              </w:rPr>
              <w:t>8.</w:t>
            </w:r>
            <w:r w:rsidR="00153637" w:rsidRPr="00B71A4C">
              <w:rPr>
                <w:rFonts w:ascii="Times New Roman" w:hAnsi="Times New Roman" w:cs="Times New Roman"/>
                <w:szCs w:val="24"/>
              </w:rPr>
              <w:t>461.258</w:t>
            </w:r>
          </w:p>
        </w:tc>
        <w:tc>
          <w:tcPr>
            <w:tcW w:w="1522" w:type="dxa"/>
            <w:tcBorders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E2EFD9" w:themeFill="accent6" w:themeFillTint="33"/>
          </w:tcPr>
          <w:p w14:paraId="22DC92E7" w14:textId="051D5E89" w:rsidR="00887588" w:rsidRPr="00B71A4C" w:rsidRDefault="00B71A4C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>8.743.111</w:t>
            </w:r>
          </w:p>
        </w:tc>
      </w:tr>
      <w:tr w:rsidR="00B71A4C" w:rsidRPr="00B71A4C" w14:paraId="1BB0795F" w14:textId="77777777" w:rsidTr="00036343">
        <w:trPr>
          <w:trHeight w:val="422"/>
          <w:jc w:val="center"/>
        </w:trPr>
        <w:tc>
          <w:tcPr>
            <w:tcW w:w="2671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26AF9ED7" w14:textId="77777777" w:rsidR="00887588" w:rsidRPr="00B71A4C" w:rsidRDefault="00887588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>Studenti</w:t>
            </w:r>
          </w:p>
        </w:tc>
        <w:tc>
          <w:tcPr>
            <w:tcW w:w="1567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3A6D5A5A" w14:textId="3C2D7AF2" w:rsidR="00887588" w:rsidRPr="00B71A4C" w:rsidRDefault="002A366A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87588" w:rsidRPr="00B71A4C">
              <w:rPr>
                <w:rFonts w:ascii="Times New Roman" w:hAnsi="Times New Roman" w:cs="Times New Roman"/>
                <w:szCs w:val="24"/>
              </w:rPr>
              <w:t>4.779.774</w:t>
            </w:r>
          </w:p>
        </w:tc>
        <w:tc>
          <w:tcPr>
            <w:tcW w:w="1522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02FFAAD" w14:textId="37E6534C" w:rsidR="00887588" w:rsidRPr="00B71A4C" w:rsidRDefault="00036343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6.206.223</w:t>
            </w:r>
          </w:p>
        </w:tc>
      </w:tr>
      <w:tr w:rsidR="00B71A4C" w:rsidRPr="00B71A4C" w14:paraId="48B18373" w14:textId="77777777" w:rsidTr="00036343">
        <w:trPr>
          <w:trHeight w:val="416"/>
          <w:jc w:val="center"/>
        </w:trPr>
        <w:tc>
          <w:tcPr>
            <w:tcW w:w="2671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</w:tcPr>
          <w:p w14:paraId="32F6CDA7" w14:textId="77777777" w:rsidR="00887588" w:rsidRPr="00B71A4C" w:rsidRDefault="00887588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>UKUPNO</w:t>
            </w:r>
          </w:p>
        </w:tc>
        <w:tc>
          <w:tcPr>
            <w:tcW w:w="156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</w:tcPr>
          <w:p w14:paraId="413C60B3" w14:textId="440EBE72" w:rsidR="00887588" w:rsidRPr="00B71A4C" w:rsidRDefault="00887588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1A4C">
              <w:rPr>
                <w:rFonts w:ascii="Times New Roman" w:hAnsi="Times New Roman" w:cs="Times New Roman"/>
                <w:szCs w:val="24"/>
              </w:rPr>
              <w:t>13.2</w:t>
            </w:r>
            <w:r w:rsidR="00090D1F">
              <w:rPr>
                <w:rFonts w:ascii="Times New Roman" w:hAnsi="Times New Roman" w:cs="Times New Roman"/>
                <w:szCs w:val="24"/>
              </w:rPr>
              <w:t>41</w:t>
            </w:r>
            <w:r w:rsidRPr="00B71A4C">
              <w:rPr>
                <w:rFonts w:ascii="Times New Roman" w:hAnsi="Times New Roman" w:cs="Times New Roman"/>
                <w:szCs w:val="24"/>
              </w:rPr>
              <w:t>.</w:t>
            </w:r>
            <w:r w:rsidR="00090D1F">
              <w:rPr>
                <w:rFonts w:ascii="Times New Roman" w:hAnsi="Times New Roman" w:cs="Times New Roman"/>
                <w:szCs w:val="24"/>
              </w:rPr>
              <w:t>032</w:t>
            </w:r>
          </w:p>
        </w:tc>
        <w:tc>
          <w:tcPr>
            <w:tcW w:w="1522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</w:tcPr>
          <w:p w14:paraId="4456957C" w14:textId="0D3C1A59" w:rsidR="00887588" w:rsidRPr="00B71A4C" w:rsidRDefault="0094420C" w:rsidP="004602D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3F1228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949</w:t>
            </w:r>
            <w:r w:rsidR="003F1228">
              <w:rPr>
                <w:rFonts w:ascii="Times New Roman" w:hAnsi="Times New Roman" w:cs="Times New Roman"/>
                <w:szCs w:val="24"/>
              </w:rPr>
              <w:t>.334</w:t>
            </w:r>
          </w:p>
        </w:tc>
      </w:tr>
    </w:tbl>
    <w:p w14:paraId="304345FE" w14:textId="77777777" w:rsidR="00887588" w:rsidRPr="00B71A4C" w:rsidRDefault="00887588" w:rsidP="00BA5B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8A14E" w14:textId="65E5FDCB" w:rsidR="0038695B" w:rsidRPr="00BF61CF" w:rsidRDefault="00804FD3" w:rsidP="00BA5B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2651E" w:rsidRPr="00BF61CF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2651E" w:rsidRPr="00BF61CF">
        <w:rPr>
          <w:rFonts w:ascii="Times New Roman" w:hAnsi="Times New Roman" w:cs="Times New Roman"/>
          <w:sz w:val="24"/>
          <w:szCs w:val="24"/>
        </w:rPr>
        <w:t xml:space="preserve">ablice 3. </w:t>
      </w:r>
      <w:r w:rsidR="005067F9" w:rsidRPr="00BF61CF">
        <w:rPr>
          <w:rFonts w:ascii="Times New Roman" w:hAnsi="Times New Roman" w:cs="Times New Roman"/>
          <w:sz w:val="24"/>
          <w:szCs w:val="24"/>
        </w:rPr>
        <w:t>–</w:t>
      </w:r>
      <w:bookmarkStart w:id="0" w:name="_Hlk134099159"/>
      <w:r w:rsidR="0032688F" w:rsidRPr="00BF61CF">
        <w:rPr>
          <w:rFonts w:ascii="Times New Roman" w:hAnsi="Times New Roman" w:cs="Times New Roman"/>
          <w:sz w:val="24"/>
          <w:szCs w:val="24"/>
        </w:rPr>
        <w:t xml:space="preserve"> </w:t>
      </w:r>
      <w:r w:rsidR="00BA56F8" w:rsidRPr="00BF61CF">
        <w:rPr>
          <w:rFonts w:ascii="Times New Roman" w:hAnsi="Times New Roman" w:cs="Times New Roman"/>
          <w:sz w:val="24"/>
          <w:szCs w:val="24"/>
        </w:rPr>
        <w:t>B</w:t>
      </w:r>
      <w:r w:rsidR="00BA5B36" w:rsidRPr="00BF61CF">
        <w:rPr>
          <w:rFonts w:ascii="Times New Roman" w:hAnsi="Times New Roman" w:cs="Times New Roman"/>
          <w:sz w:val="24"/>
          <w:szCs w:val="24"/>
        </w:rPr>
        <w:t>roj ostvarenih putovanja učenika osnovnih i srednjih škola te studenata</w:t>
      </w:r>
      <w:r w:rsidR="00312135" w:rsidRPr="00BF61CF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8B0329">
        <w:rPr>
          <w:rFonts w:ascii="Times New Roman" w:hAnsi="Times New Roman" w:cs="Times New Roman"/>
          <w:sz w:val="24"/>
          <w:szCs w:val="24"/>
        </w:rPr>
        <w:t>4</w:t>
      </w:r>
      <w:r w:rsidR="00312135" w:rsidRPr="00BF61CF">
        <w:rPr>
          <w:rFonts w:ascii="Times New Roman" w:hAnsi="Times New Roman" w:cs="Times New Roman"/>
          <w:sz w:val="24"/>
          <w:szCs w:val="24"/>
        </w:rPr>
        <w:t>/202</w:t>
      </w:r>
      <w:r w:rsidR="008B0329">
        <w:rPr>
          <w:rFonts w:ascii="Times New Roman" w:hAnsi="Times New Roman" w:cs="Times New Roman"/>
          <w:sz w:val="24"/>
          <w:szCs w:val="24"/>
        </w:rPr>
        <w:t>5</w:t>
      </w:r>
      <w:r w:rsidR="00312135" w:rsidRPr="00BF61CF">
        <w:rPr>
          <w:rFonts w:ascii="Times New Roman" w:hAnsi="Times New Roman" w:cs="Times New Roman"/>
          <w:sz w:val="24"/>
          <w:szCs w:val="24"/>
        </w:rPr>
        <w:t>. godin</w:t>
      </w:r>
      <w:r w:rsidR="00B5189C">
        <w:rPr>
          <w:rFonts w:ascii="Times New Roman" w:hAnsi="Times New Roman" w:cs="Times New Roman"/>
          <w:sz w:val="24"/>
          <w:szCs w:val="24"/>
        </w:rPr>
        <w:t>e</w:t>
      </w:r>
      <w:r w:rsidR="00BA5B36" w:rsidRPr="00BF61CF">
        <w:rPr>
          <w:rFonts w:ascii="Times New Roman" w:hAnsi="Times New Roman" w:cs="Times New Roman"/>
          <w:sz w:val="24"/>
          <w:szCs w:val="24"/>
        </w:rPr>
        <w:t xml:space="preserve"> vidljivo je </w:t>
      </w:r>
      <w:r w:rsidR="00A12B34" w:rsidRPr="00591032">
        <w:rPr>
          <w:rFonts w:ascii="Times New Roman" w:hAnsi="Times New Roman" w:cs="Times New Roman"/>
          <w:sz w:val="24"/>
          <w:szCs w:val="24"/>
        </w:rPr>
        <w:t>povećanje</w:t>
      </w:r>
      <w:r w:rsidR="00A12B34" w:rsidRPr="00984E58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A12B34" w:rsidRPr="00BF61CF">
        <w:rPr>
          <w:rFonts w:ascii="Times New Roman" w:hAnsi="Times New Roman" w:cs="Times New Roman"/>
          <w:sz w:val="24"/>
          <w:szCs w:val="24"/>
        </w:rPr>
        <w:t>broja</w:t>
      </w:r>
      <w:r>
        <w:rPr>
          <w:rFonts w:ascii="Times New Roman" w:hAnsi="Times New Roman" w:cs="Times New Roman"/>
          <w:sz w:val="24"/>
          <w:szCs w:val="24"/>
        </w:rPr>
        <w:t xml:space="preserve"> putnika</w:t>
      </w:r>
      <w:r w:rsidR="00580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navedenim kategorijama.</w:t>
      </w:r>
      <w:r w:rsidR="00A12B34" w:rsidRPr="00BF6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10048" w14:textId="318A6C8E" w:rsidR="00695A46" w:rsidRPr="00591032" w:rsidRDefault="00451405" w:rsidP="005808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</w:t>
      </w:r>
      <w:r w:rsidRPr="00BF61CF">
        <w:rPr>
          <w:rFonts w:ascii="Times New Roman" w:hAnsi="Times New Roman" w:cs="Times New Roman"/>
          <w:sz w:val="24"/>
          <w:szCs w:val="24"/>
        </w:rPr>
        <w:t xml:space="preserve"> kategorije putnika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F61CF">
        <w:rPr>
          <w:rFonts w:ascii="Times New Roman" w:hAnsi="Times New Roman" w:cs="Times New Roman"/>
          <w:sz w:val="24"/>
          <w:szCs w:val="24"/>
        </w:rPr>
        <w:t xml:space="preserve"> </w:t>
      </w:r>
      <w:r w:rsidR="00B01102" w:rsidRPr="00BF61CF">
        <w:rPr>
          <w:rFonts w:ascii="Times New Roman" w:hAnsi="Times New Roman" w:cs="Times New Roman"/>
          <w:sz w:val="24"/>
          <w:szCs w:val="24"/>
        </w:rPr>
        <w:t>202</w:t>
      </w:r>
      <w:r w:rsidR="00182012">
        <w:rPr>
          <w:rFonts w:ascii="Times New Roman" w:hAnsi="Times New Roman" w:cs="Times New Roman"/>
          <w:sz w:val="24"/>
          <w:szCs w:val="24"/>
        </w:rPr>
        <w:t>5</w:t>
      </w:r>
      <w:r w:rsidR="00B01102" w:rsidRPr="00BF61CF">
        <w:rPr>
          <w:rFonts w:ascii="Times New Roman" w:hAnsi="Times New Roman" w:cs="Times New Roman"/>
          <w:sz w:val="24"/>
          <w:szCs w:val="24"/>
        </w:rPr>
        <w:t xml:space="preserve">. godini ostvarile </w:t>
      </w:r>
      <w:r w:rsidR="00695A46">
        <w:rPr>
          <w:rFonts w:ascii="Times New Roman" w:hAnsi="Times New Roman" w:cs="Times New Roman"/>
          <w:sz w:val="24"/>
          <w:szCs w:val="24"/>
        </w:rPr>
        <w:t xml:space="preserve">su </w:t>
      </w:r>
      <w:r w:rsidR="00274FBD" w:rsidRPr="00591032">
        <w:rPr>
          <w:rFonts w:ascii="Times New Roman" w:hAnsi="Times New Roman" w:cs="Times New Roman"/>
          <w:szCs w:val="24"/>
        </w:rPr>
        <w:t>14.949.334</w:t>
      </w:r>
      <w:r w:rsidR="00D575B4" w:rsidRPr="00591032">
        <w:rPr>
          <w:rFonts w:ascii="Times New Roman" w:hAnsi="Times New Roman" w:cs="Times New Roman"/>
          <w:szCs w:val="24"/>
        </w:rPr>
        <w:t xml:space="preserve"> </w:t>
      </w:r>
      <w:r w:rsidR="00B01102" w:rsidRPr="00591032">
        <w:rPr>
          <w:rFonts w:ascii="Times New Roman" w:hAnsi="Times New Roman" w:cs="Times New Roman"/>
          <w:sz w:val="24"/>
          <w:szCs w:val="24"/>
        </w:rPr>
        <w:t xml:space="preserve">putovanja </w:t>
      </w:r>
      <w:r w:rsidR="003E213D" w:rsidRPr="00591032">
        <w:rPr>
          <w:rFonts w:ascii="Times New Roman" w:hAnsi="Times New Roman" w:cs="Times New Roman"/>
          <w:sz w:val="24"/>
          <w:szCs w:val="24"/>
        </w:rPr>
        <w:t xml:space="preserve">što je </w:t>
      </w:r>
      <w:r w:rsidR="00B01102" w:rsidRPr="00591032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0E527F" w:rsidRPr="00591032">
        <w:rPr>
          <w:rFonts w:ascii="Times New Roman" w:hAnsi="Times New Roman" w:cs="Times New Roman"/>
          <w:sz w:val="24"/>
          <w:szCs w:val="24"/>
        </w:rPr>
        <w:t>oko</w:t>
      </w:r>
      <w:r w:rsidR="00B01102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B5189C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274FBD" w:rsidRPr="00591032">
        <w:rPr>
          <w:rFonts w:ascii="Times New Roman" w:hAnsi="Times New Roman" w:cs="Times New Roman"/>
          <w:sz w:val="24"/>
          <w:szCs w:val="24"/>
        </w:rPr>
        <w:t>1</w:t>
      </w:r>
      <w:r w:rsidR="000E527F" w:rsidRPr="00591032">
        <w:rPr>
          <w:rFonts w:ascii="Times New Roman" w:hAnsi="Times New Roman" w:cs="Times New Roman"/>
          <w:sz w:val="24"/>
          <w:szCs w:val="24"/>
        </w:rPr>
        <w:t>3</w:t>
      </w:r>
      <w:r w:rsidR="00396D48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D734EF" w:rsidRPr="00591032">
        <w:rPr>
          <w:rFonts w:ascii="Times New Roman" w:hAnsi="Times New Roman" w:cs="Times New Roman"/>
          <w:sz w:val="24"/>
          <w:szCs w:val="24"/>
        </w:rPr>
        <w:t xml:space="preserve">% </w:t>
      </w:r>
      <w:r w:rsidR="00300539" w:rsidRPr="00591032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182012" w:rsidRPr="00591032">
        <w:rPr>
          <w:rFonts w:ascii="Times New Roman" w:hAnsi="Times New Roman" w:cs="Times New Roman"/>
          <w:sz w:val="24"/>
          <w:szCs w:val="24"/>
        </w:rPr>
        <w:t>4</w:t>
      </w:r>
      <w:r w:rsidR="00300539" w:rsidRPr="00591032">
        <w:rPr>
          <w:rFonts w:ascii="Times New Roman" w:hAnsi="Times New Roman" w:cs="Times New Roman"/>
          <w:sz w:val="24"/>
          <w:szCs w:val="24"/>
        </w:rPr>
        <w:t>. godinu</w:t>
      </w:r>
      <w:r w:rsidR="00B01102" w:rsidRPr="00591032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7624A6EA" w14:textId="71E9FE19" w:rsidR="005A2010" w:rsidRPr="00BF61CF" w:rsidRDefault="00C3686E" w:rsidP="00F222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1820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9029BB" w:rsidRPr="00591032">
        <w:rPr>
          <w:rFonts w:ascii="Times New Roman" w:hAnsi="Times New Roman" w:cs="Times New Roman"/>
          <w:sz w:val="24"/>
          <w:szCs w:val="24"/>
        </w:rPr>
        <w:t xml:space="preserve">profil za besplatno putovanje imalo </w:t>
      </w:r>
      <w:r w:rsidR="00BA5B36" w:rsidRPr="00591032">
        <w:rPr>
          <w:rFonts w:ascii="Times New Roman" w:hAnsi="Times New Roman" w:cs="Times New Roman"/>
          <w:sz w:val="24"/>
          <w:szCs w:val="24"/>
        </w:rPr>
        <w:t xml:space="preserve"> je </w:t>
      </w:r>
      <w:r w:rsidR="00F14ED7" w:rsidRPr="00591032">
        <w:rPr>
          <w:rFonts w:ascii="Times New Roman" w:hAnsi="Times New Roman" w:cs="Times New Roman"/>
          <w:szCs w:val="24"/>
        </w:rPr>
        <w:t>60.761</w:t>
      </w:r>
      <w:r w:rsidR="00695A46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984E58" w:rsidRPr="00591032">
        <w:rPr>
          <w:rFonts w:ascii="Times New Roman" w:hAnsi="Times New Roman" w:cs="Times New Roman"/>
          <w:sz w:val="24"/>
          <w:szCs w:val="24"/>
        </w:rPr>
        <w:t xml:space="preserve">djece i </w:t>
      </w:r>
      <w:r w:rsidR="00695A46" w:rsidRPr="00591032">
        <w:rPr>
          <w:rFonts w:ascii="Times New Roman" w:hAnsi="Times New Roman" w:cs="Times New Roman"/>
          <w:sz w:val="24"/>
          <w:szCs w:val="24"/>
        </w:rPr>
        <w:t>učenika</w:t>
      </w:r>
      <w:r w:rsidR="004A650B" w:rsidRPr="00591032">
        <w:rPr>
          <w:rFonts w:ascii="Times New Roman" w:hAnsi="Times New Roman" w:cs="Times New Roman"/>
          <w:sz w:val="24"/>
          <w:szCs w:val="24"/>
        </w:rPr>
        <w:t xml:space="preserve"> osnovnih i srednjih škola</w:t>
      </w:r>
      <w:r w:rsidR="000E457A" w:rsidRPr="00591032">
        <w:rPr>
          <w:rFonts w:ascii="Times New Roman" w:hAnsi="Times New Roman" w:cs="Times New Roman"/>
          <w:sz w:val="24"/>
          <w:szCs w:val="24"/>
        </w:rPr>
        <w:t xml:space="preserve"> te je</w:t>
      </w:r>
      <w:r w:rsidR="00591032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D84DB9" w:rsidRPr="00591032">
        <w:rPr>
          <w:rFonts w:ascii="Times New Roman" w:hAnsi="Times New Roman" w:cs="Times New Roman"/>
          <w:sz w:val="24"/>
          <w:szCs w:val="24"/>
        </w:rPr>
        <w:t xml:space="preserve">besplatno putovanje ostvarilo </w:t>
      </w:r>
      <w:r w:rsidR="00E77190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661F9B" w:rsidRPr="00591032">
        <w:rPr>
          <w:rFonts w:ascii="Times New Roman" w:hAnsi="Times New Roman" w:cs="Times New Roman"/>
          <w:sz w:val="24"/>
          <w:szCs w:val="24"/>
        </w:rPr>
        <w:t>26.895</w:t>
      </w:r>
      <w:r w:rsidR="00E62CE0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E62CE0" w:rsidRPr="00BF61CF">
        <w:rPr>
          <w:rFonts w:ascii="Times New Roman" w:hAnsi="Times New Roman" w:cs="Times New Roman"/>
          <w:sz w:val="24"/>
          <w:szCs w:val="24"/>
        </w:rPr>
        <w:t>redovnih studenata</w:t>
      </w:r>
      <w:r w:rsidR="00E77190">
        <w:rPr>
          <w:rFonts w:ascii="Times New Roman" w:hAnsi="Times New Roman" w:cs="Times New Roman"/>
          <w:sz w:val="24"/>
          <w:szCs w:val="24"/>
        </w:rPr>
        <w:t>.</w:t>
      </w:r>
      <w:r w:rsidR="005A2010" w:rsidRPr="00BF6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45A43" w14:textId="77777777" w:rsidR="00BA5B36" w:rsidRPr="00BF61CF" w:rsidRDefault="00BA5B36" w:rsidP="00BA5B3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 xml:space="preserve">Navedeno pozitivno utječe na razvoj i korištenje usluge prijevoza željeznicom, ali i održivost željezničkog prijevoza, čime se doprinosi i smanjenju štetnih plinova na okoliš. </w:t>
      </w:r>
    </w:p>
    <w:p w14:paraId="48A7B4E6" w14:textId="361AC807" w:rsidR="0052651E" w:rsidRPr="00BF61CF" w:rsidRDefault="0052651E" w:rsidP="0052651E">
      <w:pPr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 xml:space="preserve">Tablica </w:t>
      </w:r>
      <w:r w:rsidR="00BA5B36" w:rsidRPr="00BF61CF">
        <w:rPr>
          <w:rFonts w:ascii="Times New Roman" w:hAnsi="Times New Roman" w:cs="Times New Roman"/>
          <w:sz w:val="24"/>
          <w:szCs w:val="24"/>
        </w:rPr>
        <w:t>4</w:t>
      </w:r>
      <w:r w:rsidRPr="00BF61CF">
        <w:rPr>
          <w:rFonts w:ascii="Times New Roman" w:hAnsi="Times New Roman" w:cs="Times New Roman"/>
          <w:sz w:val="24"/>
          <w:szCs w:val="24"/>
        </w:rPr>
        <w:t>. - Broj prevezenih putnika za razdoblje 202</w:t>
      </w:r>
      <w:r w:rsidR="00182012">
        <w:rPr>
          <w:rFonts w:ascii="Times New Roman" w:hAnsi="Times New Roman" w:cs="Times New Roman"/>
          <w:sz w:val="24"/>
          <w:szCs w:val="24"/>
        </w:rPr>
        <w:t>4</w:t>
      </w:r>
      <w:r w:rsidRPr="00BF61CF">
        <w:rPr>
          <w:rFonts w:ascii="Times New Roman" w:hAnsi="Times New Roman" w:cs="Times New Roman"/>
          <w:sz w:val="24"/>
          <w:szCs w:val="24"/>
        </w:rPr>
        <w:t>/202</w:t>
      </w:r>
      <w:r w:rsidR="00182012">
        <w:rPr>
          <w:rFonts w:ascii="Times New Roman" w:hAnsi="Times New Roman" w:cs="Times New Roman"/>
          <w:sz w:val="24"/>
          <w:szCs w:val="24"/>
        </w:rPr>
        <w:t>5</w:t>
      </w:r>
      <w:r w:rsidRPr="00BF61CF">
        <w:rPr>
          <w:rFonts w:ascii="Times New Roman" w:hAnsi="Times New Roman" w:cs="Times New Roman"/>
          <w:sz w:val="24"/>
          <w:szCs w:val="24"/>
        </w:rPr>
        <w:t xml:space="preserve">. godine </w:t>
      </w:r>
    </w:p>
    <w:tbl>
      <w:tblPr>
        <w:tblStyle w:val="TableGrid"/>
        <w:tblW w:w="509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960"/>
        <w:gridCol w:w="1960"/>
      </w:tblGrid>
      <w:tr w:rsidR="00182012" w:rsidRPr="00BF61CF" w14:paraId="6E77C499" w14:textId="210F8CBA" w:rsidTr="00182012">
        <w:trPr>
          <w:trHeight w:val="743"/>
          <w:jc w:val="center"/>
        </w:trPr>
        <w:tc>
          <w:tcPr>
            <w:tcW w:w="1177" w:type="dxa"/>
            <w:shd w:val="clear" w:color="auto" w:fill="5B9BD5" w:themeFill="accent1"/>
          </w:tcPr>
          <w:p w14:paraId="64D3BF6F" w14:textId="77777777" w:rsidR="00182012" w:rsidRPr="00BF61CF" w:rsidRDefault="00182012" w:rsidP="006A4E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Prevezeno putnika</w:t>
            </w:r>
          </w:p>
        </w:tc>
        <w:tc>
          <w:tcPr>
            <w:tcW w:w="1960" w:type="dxa"/>
            <w:shd w:val="clear" w:color="auto" w:fill="5B9BD5" w:themeFill="accent1"/>
          </w:tcPr>
          <w:p w14:paraId="2C37A9BF" w14:textId="77777777" w:rsidR="00182012" w:rsidRPr="00BF61CF" w:rsidRDefault="00182012" w:rsidP="006A4E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2024.                      godina</w:t>
            </w:r>
          </w:p>
        </w:tc>
        <w:tc>
          <w:tcPr>
            <w:tcW w:w="1960" w:type="dxa"/>
            <w:shd w:val="clear" w:color="auto" w:fill="5B9BD5" w:themeFill="accent1"/>
          </w:tcPr>
          <w:p w14:paraId="6C967A95" w14:textId="75E8FB21" w:rsidR="00182012" w:rsidRPr="00396D48" w:rsidRDefault="00182012" w:rsidP="006A4EA1">
            <w:pPr>
              <w:jc w:val="center"/>
              <w:rPr>
                <w:rFonts w:ascii="Times New Roman" w:hAnsi="Times New Roman" w:cs="Times New Roman"/>
                <w:color w:val="4472C4" w:themeColor="accent5"/>
                <w:szCs w:val="24"/>
              </w:rPr>
            </w:pPr>
            <w:r w:rsidRPr="00396D48">
              <w:rPr>
                <w:rFonts w:ascii="Times New Roman" w:hAnsi="Times New Roman" w:cs="Times New Roman"/>
                <w:szCs w:val="24"/>
              </w:rPr>
              <w:t>2025.             godina</w:t>
            </w:r>
          </w:p>
        </w:tc>
      </w:tr>
      <w:tr w:rsidR="00182012" w:rsidRPr="00BF61CF" w14:paraId="03FA59DB" w14:textId="63E99D1D" w:rsidTr="00182012">
        <w:trPr>
          <w:trHeight w:val="352"/>
          <w:jc w:val="center"/>
        </w:trPr>
        <w:tc>
          <w:tcPr>
            <w:tcW w:w="1177" w:type="dxa"/>
            <w:shd w:val="clear" w:color="auto" w:fill="DEEAF6" w:themeFill="accent1" w:themeFillTint="33"/>
          </w:tcPr>
          <w:p w14:paraId="03BE14FA" w14:textId="77777777" w:rsidR="00182012" w:rsidRPr="00BF61CF" w:rsidDel="00A47B51" w:rsidRDefault="00182012" w:rsidP="006F47A3">
            <w:pPr>
              <w:rPr>
                <w:rFonts w:ascii="Times New Roman" w:hAnsi="Times New Roman" w:cs="Times New Roman"/>
                <w:szCs w:val="24"/>
              </w:rPr>
            </w:pPr>
            <w:r w:rsidRPr="00BF61CF">
              <w:rPr>
                <w:rFonts w:ascii="Times New Roman" w:hAnsi="Times New Roman" w:cs="Times New Roman"/>
                <w:szCs w:val="24"/>
              </w:rPr>
              <w:t>UKUPNO</w:t>
            </w:r>
          </w:p>
        </w:tc>
        <w:tc>
          <w:tcPr>
            <w:tcW w:w="1960" w:type="dxa"/>
            <w:shd w:val="clear" w:color="auto" w:fill="DEEAF6" w:themeFill="accent1" w:themeFillTint="33"/>
          </w:tcPr>
          <w:p w14:paraId="1DFCBD64" w14:textId="77777777" w:rsidR="00182012" w:rsidRDefault="00182012" w:rsidP="000E15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24.460.250</w:t>
            </w:r>
          </w:p>
        </w:tc>
        <w:tc>
          <w:tcPr>
            <w:tcW w:w="1960" w:type="dxa"/>
            <w:shd w:val="clear" w:color="auto" w:fill="DEEAF6" w:themeFill="accent1" w:themeFillTint="33"/>
          </w:tcPr>
          <w:p w14:paraId="143D4C76" w14:textId="00573A06" w:rsidR="00182012" w:rsidRPr="00396D48" w:rsidRDefault="00182012" w:rsidP="000E1506">
            <w:pPr>
              <w:jc w:val="center"/>
              <w:rPr>
                <w:rFonts w:ascii="Times New Roman" w:hAnsi="Times New Roman" w:cs="Times New Roman"/>
                <w:color w:val="4472C4" w:themeColor="accent5"/>
                <w:szCs w:val="24"/>
              </w:rPr>
            </w:pPr>
            <w:r w:rsidRPr="00591032">
              <w:rPr>
                <w:rFonts w:ascii="Times New Roman" w:hAnsi="Times New Roman" w:cs="Times New Roman"/>
                <w:szCs w:val="24"/>
              </w:rPr>
              <w:t>26.303.246</w:t>
            </w:r>
          </w:p>
        </w:tc>
      </w:tr>
    </w:tbl>
    <w:p w14:paraId="3655E6B3" w14:textId="77777777" w:rsidR="004A6398" w:rsidRPr="00BF61CF" w:rsidRDefault="004A6398" w:rsidP="006F47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802717" w14:textId="7128D0CD" w:rsidR="0052651E" w:rsidRPr="00BF61CF" w:rsidRDefault="00F24B8C" w:rsidP="005265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navedenih parametara iz Tablice broj </w:t>
      </w:r>
      <w:r w:rsidR="00E62CE0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2651E" w:rsidRPr="00BF61CF">
        <w:rPr>
          <w:rFonts w:ascii="Times New Roman" w:hAnsi="Times New Roman" w:cs="Times New Roman"/>
          <w:sz w:val="24"/>
          <w:szCs w:val="24"/>
        </w:rPr>
        <w:t>- Broj prevezenih putnika za razdoblje 202</w:t>
      </w:r>
      <w:r w:rsidR="00182012">
        <w:rPr>
          <w:rFonts w:ascii="Times New Roman" w:hAnsi="Times New Roman" w:cs="Times New Roman"/>
          <w:sz w:val="24"/>
          <w:szCs w:val="24"/>
        </w:rPr>
        <w:t>4</w:t>
      </w:r>
      <w:r w:rsidR="0052651E" w:rsidRPr="00BF61CF">
        <w:rPr>
          <w:rFonts w:ascii="Times New Roman" w:hAnsi="Times New Roman" w:cs="Times New Roman"/>
          <w:sz w:val="24"/>
          <w:szCs w:val="24"/>
        </w:rPr>
        <w:t>/202</w:t>
      </w:r>
      <w:r w:rsidR="00182012">
        <w:rPr>
          <w:rFonts w:ascii="Times New Roman" w:hAnsi="Times New Roman" w:cs="Times New Roman"/>
          <w:sz w:val="24"/>
          <w:szCs w:val="24"/>
        </w:rPr>
        <w:t>5</w:t>
      </w:r>
      <w:r w:rsidR="0052651E" w:rsidRPr="00BF61CF">
        <w:rPr>
          <w:rFonts w:ascii="Times New Roman" w:hAnsi="Times New Roman" w:cs="Times New Roman"/>
          <w:sz w:val="24"/>
          <w:szCs w:val="24"/>
        </w:rPr>
        <w:t>. godine</w:t>
      </w:r>
      <w:r w:rsidR="009B4850">
        <w:rPr>
          <w:rFonts w:ascii="Times New Roman" w:hAnsi="Times New Roman" w:cs="Times New Roman"/>
          <w:sz w:val="24"/>
          <w:szCs w:val="24"/>
        </w:rPr>
        <w:t xml:space="preserve"> vidljivo je da je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ukupan broj prevezenih putnika </w:t>
      </w:r>
      <w:r w:rsidR="0052651E" w:rsidRPr="00182012">
        <w:rPr>
          <w:rFonts w:ascii="Times New Roman" w:eastAsia="Times New Roman" w:hAnsi="Times New Roman" w:cs="Times New Roman"/>
          <w:sz w:val="24"/>
          <w:szCs w:val="24"/>
          <w:lang w:eastAsia="hr-HR"/>
        </w:rPr>
        <w:t>porastao</w:t>
      </w:r>
      <w:r w:rsidR="001820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936B26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2012" w:rsidRPr="00591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24.460.250 putnika u 2024. godini  </w:t>
      </w:r>
      <w:r w:rsidR="0052651E" w:rsidRPr="00591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573E52" w:rsidRPr="0059103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82012" w:rsidRPr="00591032">
        <w:rPr>
          <w:rFonts w:ascii="Times New Roman" w:eastAsia="Times New Roman" w:hAnsi="Times New Roman" w:cs="Times New Roman"/>
          <w:sz w:val="24"/>
          <w:szCs w:val="24"/>
          <w:lang w:eastAsia="hr-HR"/>
        </w:rPr>
        <w:t>6.303.246</w:t>
      </w:r>
      <w:r w:rsidR="00573E52" w:rsidRPr="005910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putnika u </w:t>
      </w:r>
      <w:r w:rsidR="00114CF9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8201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  <w:r w:rsidR="0052651E" w:rsidRPr="00BF61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684A77" w14:textId="67163CCD" w:rsidR="0052651E" w:rsidRPr="00BF61CF" w:rsidRDefault="0052651E" w:rsidP="0052651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>Nadalje, kako bi se pomoglo stanovnicima pogođenim potresom na području Sisačko-moslavačke županije</w:t>
      </w:r>
      <w:r w:rsidR="000953DA" w:rsidRPr="00BF61CF">
        <w:rPr>
          <w:rFonts w:ascii="Times New Roman" w:hAnsi="Times New Roman" w:cs="Times New Roman"/>
          <w:sz w:val="24"/>
          <w:szCs w:val="24"/>
        </w:rPr>
        <w:t>,</w:t>
      </w:r>
      <w:r w:rsidRPr="00BF61CF">
        <w:rPr>
          <w:rFonts w:ascii="Times New Roman" w:hAnsi="Times New Roman" w:cs="Times New Roman"/>
          <w:sz w:val="24"/>
          <w:szCs w:val="24"/>
        </w:rPr>
        <w:t xml:space="preserve"> od 30</w:t>
      </w:r>
      <w:r w:rsidR="000953DA" w:rsidRPr="00BF61CF">
        <w:rPr>
          <w:rFonts w:ascii="Times New Roman" w:hAnsi="Times New Roman" w:cs="Times New Roman"/>
          <w:sz w:val="24"/>
          <w:szCs w:val="24"/>
        </w:rPr>
        <w:t>.</w:t>
      </w:r>
      <w:r w:rsidRPr="00BF61CF">
        <w:rPr>
          <w:rFonts w:ascii="Times New Roman" w:hAnsi="Times New Roman" w:cs="Times New Roman"/>
          <w:sz w:val="24"/>
          <w:szCs w:val="24"/>
        </w:rPr>
        <w:t xml:space="preserve"> prosinca 2020. godine </w:t>
      </w:r>
      <w:r w:rsidR="0018201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do 31</w:t>
      </w:r>
      <w:r w:rsidRPr="00BF61C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18201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prosinca </w:t>
      </w:r>
      <w:r w:rsidR="00E414D8" w:rsidRPr="00BF61C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</w:t>
      </w:r>
      <w:r w:rsidR="0018201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BF61C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godine Vlada Republike Hrvatske je osigurala mjeru korištenja besplatnog željezničkog prijevoza putnika.</w:t>
      </w:r>
      <w:r w:rsidRPr="00BF61C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61C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Navedena</w:t>
      </w:r>
      <w:r w:rsidR="000953DA" w:rsidRPr="00BF61C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BF61CF">
        <w:rPr>
          <w:rFonts w:ascii="Times New Roman" w:hAnsi="Times New Roman" w:cs="Times New Roman"/>
          <w:sz w:val="24"/>
          <w:szCs w:val="24"/>
        </w:rPr>
        <w:t xml:space="preserve">mjera također je pridonijela povećanju </w:t>
      </w:r>
      <w:r w:rsidR="00642722">
        <w:rPr>
          <w:rFonts w:ascii="Times New Roman" w:hAnsi="Times New Roman" w:cs="Times New Roman"/>
          <w:sz w:val="24"/>
          <w:szCs w:val="24"/>
        </w:rPr>
        <w:t>broja prevezenih putnika</w:t>
      </w:r>
      <w:r w:rsidRPr="00BF61CF">
        <w:rPr>
          <w:rFonts w:ascii="Times New Roman" w:hAnsi="Times New Roman" w:cs="Times New Roman"/>
          <w:sz w:val="24"/>
          <w:szCs w:val="24"/>
        </w:rPr>
        <w:t xml:space="preserve"> što je vidljivo iz Tablice broj </w:t>
      </w:r>
      <w:r w:rsidR="00936B26" w:rsidRPr="00BF61CF">
        <w:rPr>
          <w:rFonts w:ascii="Times New Roman" w:hAnsi="Times New Roman" w:cs="Times New Roman"/>
          <w:sz w:val="24"/>
          <w:szCs w:val="24"/>
        </w:rPr>
        <w:t>5</w:t>
      </w:r>
      <w:r w:rsidRPr="00BF61CF">
        <w:rPr>
          <w:rFonts w:ascii="Times New Roman" w:hAnsi="Times New Roman" w:cs="Times New Roman"/>
          <w:sz w:val="24"/>
          <w:szCs w:val="24"/>
        </w:rPr>
        <w:t>. - Broj besplatno prevezenih putnika pogođenih potresom u Sisačko-moslavačkoj županiji (SMŽ)</w:t>
      </w:r>
      <w:r w:rsidR="001F1259" w:rsidRPr="00BF61CF">
        <w:rPr>
          <w:rFonts w:ascii="Times New Roman" w:hAnsi="Times New Roman" w:cs="Times New Roman"/>
          <w:sz w:val="24"/>
          <w:szCs w:val="24"/>
        </w:rPr>
        <w:t xml:space="preserve"> za razdoblje 2020/2021</w:t>
      </w:r>
      <w:r w:rsidR="00AB13EF" w:rsidRPr="00BF61CF">
        <w:rPr>
          <w:rFonts w:ascii="Times New Roman" w:hAnsi="Times New Roman" w:cs="Times New Roman"/>
          <w:sz w:val="24"/>
          <w:szCs w:val="24"/>
        </w:rPr>
        <w:t>/2022</w:t>
      </w:r>
      <w:r w:rsidR="00164992">
        <w:rPr>
          <w:rFonts w:ascii="Times New Roman" w:hAnsi="Times New Roman" w:cs="Times New Roman"/>
          <w:sz w:val="24"/>
          <w:szCs w:val="24"/>
        </w:rPr>
        <w:t>/2023</w:t>
      </w:r>
      <w:r w:rsidR="003C3319">
        <w:rPr>
          <w:rFonts w:ascii="Times New Roman" w:hAnsi="Times New Roman" w:cs="Times New Roman"/>
          <w:sz w:val="24"/>
          <w:szCs w:val="24"/>
        </w:rPr>
        <w:t>/2024</w:t>
      </w:r>
      <w:r w:rsidR="00E77190">
        <w:rPr>
          <w:rFonts w:ascii="Times New Roman" w:hAnsi="Times New Roman" w:cs="Times New Roman"/>
          <w:sz w:val="24"/>
          <w:szCs w:val="24"/>
        </w:rPr>
        <w:t>/2025</w:t>
      </w:r>
      <w:r w:rsidR="001F1259" w:rsidRPr="00BF61CF">
        <w:rPr>
          <w:rFonts w:ascii="Times New Roman" w:hAnsi="Times New Roman" w:cs="Times New Roman"/>
          <w:sz w:val="24"/>
          <w:szCs w:val="24"/>
        </w:rPr>
        <w:t>. godine.</w:t>
      </w:r>
    </w:p>
    <w:p w14:paraId="46FD780B" w14:textId="75250E22" w:rsidR="0052651E" w:rsidRPr="00BF61CF" w:rsidRDefault="0052651E" w:rsidP="0052651E">
      <w:pPr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 xml:space="preserve">Tablica </w:t>
      </w:r>
      <w:r w:rsidR="00936B26" w:rsidRPr="00BF61CF">
        <w:rPr>
          <w:rFonts w:ascii="Times New Roman" w:hAnsi="Times New Roman" w:cs="Times New Roman"/>
          <w:sz w:val="24"/>
          <w:szCs w:val="24"/>
        </w:rPr>
        <w:t>5</w:t>
      </w:r>
      <w:r w:rsidRPr="00BF61CF">
        <w:rPr>
          <w:rFonts w:ascii="Times New Roman" w:hAnsi="Times New Roman" w:cs="Times New Roman"/>
          <w:sz w:val="24"/>
          <w:szCs w:val="24"/>
        </w:rPr>
        <w:t>. - Broj besplatno prevezenih putnika pogođenih potresom u Sisačko-moslavačkoj županiji (SMŽ) za razdoblje 2020/2021. godine te 2020/2021/2022</w:t>
      </w:r>
      <w:r w:rsidR="003C3319">
        <w:rPr>
          <w:rFonts w:ascii="Times New Roman" w:hAnsi="Times New Roman" w:cs="Times New Roman"/>
          <w:sz w:val="24"/>
          <w:szCs w:val="24"/>
        </w:rPr>
        <w:t>/2023/2024</w:t>
      </w:r>
      <w:r w:rsidR="004C7E5F">
        <w:rPr>
          <w:rFonts w:ascii="Times New Roman" w:hAnsi="Times New Roman" w:cs="Times New Roman"/>
          <w:sz w:val="24"/>
          <w:szCs w:val="24"/>
        </w:rPr>
        <w:t>/2025</w:t>
      </w:r>
      <w:r w:rsidRPr="00BF61C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920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8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33"/>
        <w:gridCol w:w="925"/>
        <w:gridCol w:w="931"/>
        <w:gridCol w:w="1542"/>
        <w:gridCol w:w="1134"/>
        <w:gridCol w:w="1276"/>
        <w:gridCol w:w="1134"/>
        <w:gridCol w:w="1134"/>
      </w:tblGrid>
      <w:tr w:rsidR="00E77190" w:rsidRPr="00BF61CF" w14:paraId="2D7882FD" w14:textId="5CCDCDBF" w:rsidTr="00E77190">
        <w:trPr>
          <w:trHeight w:val="840"/>
          <w:jc w:val="center"/>
        </w:trPr>
        <w:tc>
          <w:tcPr>
            <w:tcW w:w="1133" w:type="dxa"/>
            <w:shd w:val="clear" w:color="auto" w:fill="5B9BD5" w:themeFill="accent1"/>
          </w:tcPr>
          <w:p w14:paraId="04F31C69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Prevezeno putnika u SMŽ</w:t>
            </w:r>
          </w:p>
        </w:tc>
        <w:tc>
          <w:tcPr>
            <w:tcW w:w="925" w:type="dxa"/>
            <w:shd w:val="clear" w:color="auto" w:fill="5B9BD5" w:themeFill="accent1"/>
          </w:tcPr>
          <w:p w14:paraId="7D959686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 xml:space="preserve">2020. </w:t>
            </w:r>
          </w:p>
          <w:p w14:paraId="6EBC7D3A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godina*</w:t>
            </w:r>
          </w:p>
        </w:tc>
        <w:tc>
          <w:tcPr>
            <w:tcW w:w="931" w:type="dxa"/>
            <w:shd w:val="clear" w:color="auto" w:fill="5B9BD5" w:themeFill="accent1"/>
          </w:tcPr>
          <w:p w14:paraId="501CFF4C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 xml:space="preserve"> 2021. godina</w:t>
            </w:r>
          </w:p>
        </w:tc>
        <w:tc>
          <w:tcPr>
            <w:tcW w:w="1542" w:type="dxa"/>
            <w:shd w:val="clear" w:color="auto" w:fill="5B9BD5" w:themeFill="accent1"/>
          </w:tcPr>
          <w:p w14:paraId="037AEFBD" w14:textId="6355F0BE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30.12.2020. do </w:t>
            </w:r>
            <w:r w:rsidRPr="00BF61CF">
              <w:rPr>
                <w:rFonts w:ascii="Times New Roman" w:hAnsi="Times New Roman" w:cs="Times New Roman"/>
              </w:rPr>
              <w:t>31.12.2021.</w:t>
            </w:r>
          </w:p>
          <w:p w14:paraId="1E4BD312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5B9BD5" w:themeFill="accent1"/>
          </w:tcPr>
          <w:p w14:paraId="5DED0FDC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2022.</w:t>
            </w:r>
          </w:p>
          <w:p w14:paraId="6A865F35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godina</w:t>
            </w:r>
          </w:p>
        </w:tc>
        <w:tc>
          <w:tcPr>
            <w:tcW w:w="1276" w:type="dxa"/>
            <w:shd w:val="clear" w:color="auto" w:fill="5B9BD5" w:themeFill="accent1"/>
          </w:tcPr>
          <w:p w14:paraId="3FFF70DC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      godina</w:t>
            </w:r>
          </w:p>
        </w:tc>
        <w:tc>
          <w:tcPr>
            <w:tcW w:w="1134" w:type="dxa"/>
            <w:shd w:val="clear" w:color="auto" w:fill="5B9BD5" w:themeFill="accent1"/>
          </w:tcPr>
          <w:p w14:paraId="45998462" w14:textId="77777777" w:rsidR="00E77190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  godina</w:t>
            </w:r>
          </w:p>
        </w:tc>
        <w:tc>
          <w:tcPr>
            <w:tcW w:w="1134" w:type="dxa"/>
            <w:shd w:val="clear" w:color="auto" w:fill="5B9BD5" w:themeFill="accent1"/>
          </w:tcPr>
          <w:p w14:paraId="5E5AF632" w14:textId="2ACC360E" w:rsidR="00E77190" w:rsidRPr="00591032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591032">
              <w:rPr>
                <w:rFonts w:ascii="Times New Roman" w:hAnsi="Times New Roman" w:cs="Times New Roman"/>
              </w:rPr>
              <w:t>2025. godina</w:t>
            </w:r>
          </w:p>
        </w:tc>
      </w:tr>
      <w:tr w:rsidR="00E77190" w:rsidRPr="00BF61CF" w14:paraId="79AEB3CF" w14:textId="62A3C5E3" w:rsidTr="00E77190">
        <w:trPr>
          <w:trHeight w:val="352"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0345E028" w14:textId="77777777" w:rsidR="00E77190" w:rsidRPr="00BF61CF" w:rsidDel="00A47B51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925" w:type="dxa"/>
            <w:shd w:val="clear" w:color="auto" w:fill="E2EFD9" w:themeFill="accent6" w:themeFillTint="33"/>
            <w:vAlign w:val="center"/>
          </w:tcPr>
          <w:p w14:paraId="2AB51382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  <w:color w:val="000000"/>
              </w:rPr>
              <w:t>267*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7FBA25D0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686.402</w:t>
            </w:r>
          </w:p>
        </w:tc>
        <w:tc>
          <w:tcPr>
            <w:tcW w:w="1542" w:type="dxa"/>
            <w:shd w:val="clear" w:color="auto" w:fill="DEEAF6" w:themeFill="accent1" w:themeFillTint="33"/>
            <w:vAlign w:val="center"/>
          </w:tcPr>
          <w:p w14:paraId="23498743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686.669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6D6E1FE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BF61CF">
              <w:rPr>
                <w:rFonts w:ascii="Times New Roman" w:hAnsi="Times New Roman" w:cs="Times New Roman"/>
              </w:rPr>
              <w:t>907.586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CA8A026" w14:textId="77777777" w:rsidR="00E77190" w:rsidRPr="00BF61CF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E57265">
              <w:rPr>
                <w:rFonts w:ascii="Times New Roman" w:hAnsi="Times New Roman" w:cs="Times New Roman"/>
              </w:rPr>
              <w:t>1.102.465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C14813C" w14:textId="6EE6E343" w:rsidR="00E77190" w:rsidRPr="00E57265" w:rsidRDefault="00E77190" w:rsidP="006A4EA1">
            <w:pPr>
              <w:jc w:val="center"/>
              <w:rPr>
                <w:rFonts w:ascii="Times New Roman" w:hAnsi="Times New Roman" w:cs="Times New Roman"/>
              </w:rPr>
            </w:pPr>
            <w:r w:rsidRPr="00E02F8C">
              <w:rPr>
                <w:rFonts w:ascii="Times New Roman" w:hAnsi="Times New Roman" w:cs="Times New Roman"/>
              </w:rPr>
              <w:t>1.150.369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FEB7A9E" w14:textId="3E493C71" w:rsidR="00E77190" w:rsidRPr="00591032" w:rsidRDefault="006A0D41" w:rsidP="006A4EA1">
            <w:pPr>
              <w:jc w:val="center"/>
              <w:rPr>
                <w:rFonts w:ascii="Times New Roman" w:hAnsi="Times New Roman" w:cs="Times New Roman"/>
              </w:rPr>
            </w:pPr>
            <w:r w:rsidRPr="00591032">
              <w:rPr>
                <w:rFonts w:ascii="Times New Roman" w:hAnsi="Times New Roman" w:cs="Times New Roman"/>
              </w:rPr>
              <w:t>1.442.852</w:t>
            </w:r>
          </w:p>
        </w:tc>
      </w:tr>
    </w:tbl>
    <w:p w14:paraId="3E35044F" w14:textId="77777777" w:rsidR="00580895" w:rsidRPr="00BF61CF" w:rsidRDefault="00FE2282" w:rsidP="0052651E">
      <w:pPr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BF61CF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52651E" w:rsidRPr="00BF61CF">
        <w:rPr>
          <w:rFonts w:ascii="Times New Roman" w:hAnsi="Times New Roman" w:cs="Times New Roman"/>
          <w:i/>
          <w:sz w:val="20"/>
          <w:szCs w:val="24"/>
        </w:rPr>
        <w:t>Napomena:-</w:t>
      </w:r>
      <w:r w:rsidR="0052651E" w:rsidRPr="00BF61CF">
        <w:rPr>
          <w:rFonts w:ascii="Times New Roman" w:hAnsi="Times New Roman" w:cs="Times New Roman"/>
          <w:sz w:val="20"/>
          <w:szCs w:val="24"/>
        </w:rPr>
        <w:t xml:space="preserve"> </w:t>
      </w:r>
      <w:r w:rsidR="0052651E" w:rsidRPr="00BF61CF">
        <w:rPr>
          <w:rFonts w:ascii="Times New Roman" w:hAnsi="Times New Roman" w:cs="Times New Roman"/>
          <w:color w:val="000000"/>
          <w:sz w:val="20"/>
          <w:szCs w:val="24"/>
        </w:rPr>
        <w:t xml:space="preserve">*Besplatan prijevoz </w:t>
      </w:r>
      <w:r w:rsidR="001F1259" w:rsidRPr="00BF61CF">
        <w:rPr>
          <w:rFonts w:ascii="Times New Roman" w:hAnsi="Times New Roman" w:cs="Times New Roman"/>
          <w:color w:val="000000"/>
          <w:sz w:val="20"/>
          <w:szCs w:val="24"/>
        </w:rPr>
        <w:t xml:space="preserve">od 30. prosinca </w:t>
      </w:r>
      <w:r w:rsidR="0052651E" w:rsidRPr="00BF61CF">
        <w:rPr>
          <w:rFonts w:ascii="Times New Roman" w:hAnsi="Times New Roman" w:cs="Times New Roman"/>
          <w:color w:val="000000"/>
          <w:sz w:val="20"/>
          <w:szCs w:val="24"/>
        </w:rPr>
        <w:t>2020.godine</w:t>
      </w:r>
    </w:p>
    <w:p w14:paraId="6E8B22DE" w14:textId="77777777" w:rsidR="00E77190" w:rsidRDefault="00E77190" w:rsidP="003359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94D309" w14:textId="5B276641" w:rsidR="005805AA" w:rsidRDefault="006B09B9" w:rsidP="003359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</w:t>
      </w:r>
      <w:r w:rsidR="00BF61CF">
        <w:rPr>
          <w:rFonts w:ascii="Times New Roman" w:hAnsi="Times New Roman" w:cs="Times New Roman"/>
          <w:sz w:val="24"/>
          <w:szCs w:val="24"/>
        </w:rPr>
        <w:t>, na t</w:t>
      </w:r>
      <w:r w:rsidR="00BF61CF" w:rsidRPr="00BF61CF">
        <w:rPr>
          <w:rFonts w:ascii="Times New Roman" w:hAnsi="Times New Roman" w:cs="Times New Roman"/>
          <w:sz w:val="24"/>
          <w:szCs w:val="24"/>
        </w:rPr>
        <w:t xml:space="preserve">emelju Zaključka Vlade Republike Hrvatske </w:t>
      </w:r>
      <w:r w:rsidR="00BF61CF" w:rsidRPr="00591032">
        <w:rPr>
          <w:rFonts w:ascii="Times New Roman" w:hAnsi="Times New Roman" w:cs="Times New Roman"/>
          <w:sz w:val="24"/>
          <w:szCs w:val="24"/>
        </w:rPr>
        <w:t>od</w:t>
      </w:r>
      <w:r w:rsidR="00EC0124"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396D48" w:rsidRPr="00591032">
        <w:rPr>
          <w:rFonts w:ascii="Times New Roman" w:hAnsi="Times New Roman" w:cs="Times New Roman"/>
          <w:sz w:val="24"/>
          <w:szCs w:val="24"/>
        </w:rPr>
        <w:t>27.</w:t>
      </w:r>
      <w:r w:rsidR="00EC0124" w:rsidRPr="00591032">
        <w:rPr>
          <w:rFonts w:ascii="Times New Roman" w:hAnsi="Times New Roman" w:cs="Times New Roman"/>
          <w:sz w:val="24"/>
          <w:szCs w:val="24"/>
        </w:rPr>
        <w:t xml:space="preserve"> prosinca 202</w:t>
      </w:r>
      <w:r w:rsidR="00396D48" w:rsidRPr="00591032">
        <w:rPr>
          <w:rFonts w:ascii="Times New Roman" w:hAnsi="Times New Roman" w:cs="Times New Roman"/>
          <w:sz w:val="24"/>
          <w:szCs w:val="24"/>
        </w:rPr>
        <w:t>4</w:t>
      </w:r>
      <w:r w:rsidR="00EC0124" w:rsidRPr="00591032">
        <w:rPr>
          <w:rFonts w:ascii="Times New Roman" w:hAnsi="Times New Roman" w:cs="Times New Roman"/>
          <w:sz w:val="24"/>
          <w:szCs w:val="24"/>
        </w:rPr>
        <w:t xml:space="preserve">. godine </w:t>
      </w:r>
      <w:r w:rsidR="00EC0124">
        <w:rPr>
          <w:rFonts w:ascii="Times New Roman" w:hAnsi="Times New Roman" w:cs="Times New Roman"/>
          <w:sz w:val="24"/>
          <w:szCs w:val="24"/>
        </w:rPr>
        <w:t>u razdoblju od 1. siječnja do 31. prosinca 202</w:t>
      </w:r>
      <w:r w:rsidR="00E77190">
        <w:rPr>
          <w:rFonts w:ascii="Times New Roman" w:hAnsi="Times New Roman" w:cs="Times New Roman"/>
          <w:sz w:val="24"/>
          <w:szCs w:val="24"/>
        </w:rPr>
        <w:t>5</w:t>
      </w:r>
      <w:r w:rsidR="00EC0124">
        <w:rPr>
          <w:rFonts w:ascii="Times New Roman" w:hAnsi="Times New Roman" w:cs="Times New Roman"/>
          <w:sz w:val="24"/>
          <w:szCs w:val="24"/>
        </w:rPr>
        <w:t>. provodi</w:t>
      </w:r>
      <w:r w:rsidR="00F45A5E">
        <w:rPr>
          <w:rFonts w:ascii="Times New Roman" w:hAnsi="Times New Roman" w:cs="Times New Roman"/>
          <w:sz w:val="24"/>
          <w:szCs w:val="24"/>
        </w:rPr>
        <w:t>o</w:t>
      </w:r>
      <w:r w:rsidR="00EC0124">
        <w:rPr>
          <w:rFonts w:ascii="Times New Roman" w:hAnsi="Times New Roman" w:cs="Times New Roman"/>
          <w:sz w:val="24"/>
          <w:szCs w:val="24"/>
        </w:rPr>
        <w:t xml:space="preserve"> se Pilot-projekt</w:t>
      </w:r>
      <w:r w:rsidR="00EC0124" w:rsidRPr="00EC0124">
        <w:rPr>
          <w:rFonts w:ascii="Times New Roman" w:hAnsi="Times New Roman" w:cs="Times New Roman"/>
          <w:sz w:val="24"/>
          <w:szCs w:val="24"/>
        </w:rPr>
        <w:t xml:space="preserve"> besplatnoga željezničkog prijevoza umirovljenika i osoba starijih od 65 godina</w:t>
      </w:r>
      <w:r w:rsidR="002D5FCA">
        <w:rPr>
          <w:rFonts w:ascii="Times New Roman" w:hAnsi="Times New Roman" w:cs="Times New Roman"/>
          <w:sz w:val="24"/>
          <w:szCs w:val="24"/>
        </w:rPr>
        <w:t xml:space="preserve">. Cilj projekta je </w:t>
      </w:r>
      <w:r w:rsidR="0078609C" w:rsidRPr="0078609C">
        <w:rPr>
          <w:rFonts w:ascii="Times New Roman" w:hAnsi="Times New Roman" w:cs="Times New Roman"/>
          <w:sz w:val="24"/>
          <w:szCs w:val="24"/>
        </w:rPr>
        <w:t>omogućiti besplatan željeznički prijevoz umirovljeni</w:t>
      </w:r>
      <w:r w:rsidR="0078609C">
        <w:rPr>
          <w:rFonts w:ascii="Times New Roman" w:hAnsi="Times New Roman" w:cs="Times New Roman"/>
          <w:sz w:val="24"/>
          <w:szCs w:val="24"/>
        </w:rPr>
        <w:t>cima</w:t>
      </w:r>
      <w:r w:rsidR="0078609C" w:rsidRPr="0078609C">
        <w:rPr>
          <w:rFonts w:ascii="Times New Roman" w:hAnsi="Times New Roman" w:cs="Times New Roman"/>
          <w:sz w:val="24"/>
          <w:szCs w:val="24"/>
        </w:rPr>
        <w:t xml:space="preserve"> i osoba</w:t>
      </w:r>
      <w:r w:rsidR="0078609C">
        <w:rPr>
          <w:rFonts w:ascii="Times New Roman" w:hAnsi="Times New Roman" w:cs="Times New Roman"/>
          <w:sz w:val="24"/>
          <w:szCs w:val="24"/>
        </w:rPr>
        <w:t>ma</w:t>
      </w:r>
      <w:r w:rsidR="0078609C" w:rsidRPr="0078609C">
        <w:rPr>
          <w:rFonts w:ascii="Times New Roman" w:hAnsi="Times New Roman" w:cs="Times New Roman"/>
          <w:sz w:val="24"/>
          <w:szCs w:val="24"/>
        </w:rPr>
        <w:t xml:space="preserve"> stariji</w:t>
      </w:r>
      <w:r w:rsidR="0078609C">
        <w:rPr>
          <w:rFonts w:ascii="Times New Roman" w:hAnsi="Times New Roman" w:cs="Times New Roman"/>
          <w:sz w:val="24"/>
          <w:szCs w:val="24"/>
        </w:rPr>
        <w:t>m</w:t>
      </w:r>
      <w:r w:rsidR="0078609C" w:rsidRPr="0078609C">
        <w:rPr>
          <w:rFonts w:ascii="Times New Roman" w:hAnsi="Times New Roman" w:cs="Times New Roman"/>
          <w:sz w:val="24"/>
          <w:szCs w:val="24"/>
        </w:rPr>
        <w:t xml:space="preserve"> od 65 godina kako bi se poboljšala kvaliteta života umirovljenika, potaknula održiva mobilnost, smanjili troškovi života za stariju populaciju te doprinijelo ekološki odgovornijem načinu putovanja starije populacije. </w:t>
      </w:r>
    </w:p>
    <w:p w14:paraId="5667B0C0" w14:textId="6B095B74" w:rsidR="005805AA" w:rsidRPr="00591032" w:rsidRDefault="005805AA" w:rsidP="005805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032">
        <w:rPr>
          <w:rFonts w:ascii="Times New Roman" w:hAnsi="Times New Roman" w:cs="Times New Roman"/>
          <w:sz w:val="24"/>
          <w:szCs w:val="24"/>
        </w:rPr>
        <w:t>U 2025. godini profil za besplat</w:t>
      </w:r>
      <w:r w:rsidR="0012523F" w:rsidRPr="00591032">
        <w:rPr>
          <w:rFonts w:ascii="Times New Roman" w:hAnsi="Times New Roman" w:cs="Times New Roman"/>
          <w:sz w:val="24"/>
          <w:szCs w:val="24"/>
        </w:rPr>
        <w:t>an</w:t>
      </w:r>
      <w:r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12523F" w:rsidRPr="00591032">
        <w:rPr>
          <w:rFonts w:ascii="Times New Roman" w:hAnsi="Times New Roman" w:cs="Times New Roman"/>
          <w:sz w:val="24"/>
          <w:szCs w:val="24"/>
        </w:rPr>
        <w:t xml:space="preserve">prijevoza </w:t>
      </w:r>
      <w:r w:rsidRPr="00591032">
        <w:rPr>
          <w:rFonts w:ascii="Times New Roman" w:hAnsi="Times New Roman" w:cs="Times New Roman"/>
          <w:sz w:val="24"/>
          <w:szCs w:val="24"/>
        </w:rPr>
        <w:t xml:space="preserve">imalo je </w:t>
      </w:r>
      <w:r w:rsidR="001A312B" w:rsidRPr="00591032">
        <w:rPr>
          <w:rFonts w:ascii="Times New Roman" w:hAnsi="Times New Roman" w:cs="Times New Roman"/>
          <w:szCs w:val="24"/>
        </w:rPr>
        <w:t>157.626</w:t>
      </w:r>
      <w:r w:rsidRPr="00591032">
        <w:rPr>
          <w:rFonts w:ascii="Times New Roman" w:hAnsi="Times New Roman" w:cs="Times New Roman"/>
          <w:sz w:val="24"/>
          <w:szCs w:val="24"/>
        </w:rPr>
        <w:t xml:space="preserve"> </w:t>
      </w:r>
      <w:r w:rsidR="0012523F" w:rsidRPr="00591032">
        <w:rPr>
          <w:rFonts w:ascii="Times New Roman" w:hAnsi="Times New Roman" w:cs="Times New Roman"/>
          <w:sz w:val="24"/>
          <w:szCs w:val="24"/>
        </w:rPr>
        <w:t>umirovljenika i osoba starijih od 65 godin</w:t>
      </w:r>
      <w:r w:rsidR="00FB1DFA" w:rsidRPr="00591032">
        <w:rPr>
          <w:rFonts w:ascii="Times New Roman" w:hAnsi="Times New Roman" w:cs="Times New Roman"/>
          <w:sz w:val="24"/>
          <w:szCs w:val="24"/>
        </w:rPr>
        <w:t xml:space="preserve">a, a ostvarili su </w:t>
      </w:r>
      <w:r w:rsidR="00C0796C" w:rsidRPr="00591032">
        <w:rPr>
          <w:rFonts w:ascii="Times New Roman" w:hAnsi="Times New Roman" w:cs="Times New Roman"/>
          <w:sz w:val="24"/>
          <w:szCs w:val="24"/>
        </w:rPr>
        <w:t>2.150.226 putovanja.</w:t>
      </w:r>
      <w:r w:rsidRPr="005910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A886D" w14:textId="7770DF0D" w:rsidR="00BF61CF" w:rsidRDefault="0078609C" w:rsidP="003359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09C">
        <w:rPr>
          <w:rFonts w:ascii="Times New Roman" w:hAnsi="Times New Roman" w:cs="Times New Roman"/>
          <w:sz w:val="24"/>
          <w:szCs w:val="24"/>
        </w:rPr>
        <w:t xml:space="preserve">Uz navedeno, </w:t>
      </w: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Pr="0078609C">
        <w:rPr>
          <w:rFonts w:ascii="Times New Roman" w:hAnsi="Times New Roman" w:cs="Times New Roman"/>
          <w:sz w:val="24"/>
          <w:szCs w:val="24"/>
        </w:rPr>
        <w:t>Pilot-projektom se promiče javni željeznički prijevoz, uz smanjenje prometnih gužvi na cestama.</w:t>
      </w:r>
    </w:p>
    <w:p w14:paraId="15E0859B" w14:textId="4A295EB8" w:rsidR="0052651E" w:rsidRPr="00BF61CF" w:rsidRDefault="0052651E" w:rsidP="003359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1CF">
        <w:rPr>
          <w:rFonts w:ascii="Times New Roman" w:hAnsi="Times New Roman" w:cs="Times New Roman"/>
          <w:sz w:val="24"/>
          <w:szCs w:val="24"/>
        </w:rPr>
        <w:t>Uz sve navedene usluge</w:t>
      </w:r>
      <w:r w:rsidR="001C0C8C" w:rsidRPr="00BF61CF">
        <w:rPr>
          <w:rFonts w:ascii="Times New Roman" w:hAnsi="Times New Roman" w:cs="Times New Roman"/>
          <w:sz w:val="24"/>
          <w:szCs w:val="24"/>
        </w:rPr>
        <w:t>,</w:t>
      </w:r>
      <w:r w:rsidRPr="00BF61CF">
        <w:rPr>
          <w:rFonts w:ascii="Times New Roman" w:hAnsi="Times New Roman" w:cs="Times New Roman"/>
          <w:sz w:val="24"/>
          <w:szCs w:val="24"/>
        </w:rPr>
        <w:t xml:space="preserve"> društvo HŽ Putnički prijevoz d.o.o. u svojoj ponudi pruža i dodatne usluge prijevoz</w:t>
      </w:r>
      <w:r w:rsidR="004B06C3" w:rsidRPr="00BF61CF">
        <w:rPr>
          <w:rFonts w:ascii="Times New Roman" w:hAnsi="Times New Roman" w:cs="Times New Roman"/>
          <w:sz w:val="24"/>
          <w:szCs w:val="24"/>
        </w:rPr>
        <w:t>a</w:t>
      </w:r>
      <w:r w:rsidRPr="00BF61CF">
        <w:rPr>
          <w:rFonts w:ascii="Times New Roman" w:hAnsi="Times New Roman" w:cs="Times New Roman"/>
          <w:sz w:val="24"/>
          <w:szCs w:val="24"/>
        </w:rPr>
        <w:t xml:space="preserve"> putnika u spavaćim vagonima, u vagonima s ležajevima, prijevoz kućnih ljubimaca, usluge izletničkih vlakova</w:t>
      </w:r>
      <w:r w:rsidR="00E02F8C">
        <w:rPr>
          <w:rFonts w:ascii="Times New Roman" w:hAnsi="Times New Roman" w:cs="Times New Roman"/>
          <w:sz w:val="24"/>
          <w:szCs w:val="24"/>
        </w:rPr>
        <w:t xml:space="preserve"> i posjeta raznim kulturnim, sportskim manifestacijama i toplicama</w:t>
      </w:r>
      <w:r w:rsidRPr="00BF61CF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GoBack"/>
      <w:bookmarkEnd w:id="1"/>
      <w:r w:rsidRPr="00BF61CF">
        <w:rPr>
          <w:rFonts w:ascii="Times New Roman" w:hAnsi="Times New Roman" w:cs="Times New Roman"/>
          <w:sz w:val="24"/>
          <w:szCs w:val="24"/>
        </w:rPr>
        <w:t xml:space="preserve">catering usluge </w:t>
      </w:r>
      <w:r w:rsidR="00A24EF7">
        <w:rPr>
          <w:rFonts w:ascii="Times New Roman" w:hAnsi="Times New Roman" w:cs="Times New Roman"/>
          <w:sz w:val="24"/>
          <w:szCs w:val="24"/>
        </w:rPr>
        <w:t>i</w:t>
      </w:r>
      <w:r w:rsidR="00580895">
        <w:rPr>
          <w:rFonts w:ascii="Times New Roman" w:hAnsi="Times New Roman" w:cs="Times New Roman"/>
          <w:sz w:val="24"/>
          <w:szCs w:val="24"/>
        </w:rPr>
        <w:t xml:space="preserve"> </w:t>
      </w:r>
      <w:r w:rsidRPr="00BF61CF">
        <w:rPr>
          <w:rFonts w:ascii="Times New Roman" w:hAnsi="Times New Roman" w:cs="Times New Roman"/>
          <w:sz w:val="24"/>
          <w:szCs w:val="24"/>
        </w:rPr>
        <w:t xml:space="preserve">druge.  </w:t>
      </w:r>
    </w:p>
    <w:sectPr w:rsidR="0052651E" w:rsidRPr="00BF61CF" w:rsidSect="004912BF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FFFFFF" w:themeColor="background1"/>
        <w:left w:val="double" w:sz="4" w:space="24" w:color="FFFFFF" w:themeColor="background1"/>
        <w:bottom w:val="double" w:sz="4" w:space="24" w:color="FFFFFF" w:themeColor="background1"/>
        <w:right w:val="double" w:sz="4" w:space="24" w:color="FFFFFF" w:themeColor="background1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E9806A" w16cex:dateUtc="2026-05-18T11:51:00Z"/>
  <w16cex:commentExtensible w16cex:durableId="76ADAA3A" w16cex:dateUtc="2026-05-18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06E2EC" w16cid:durableId="7E06E2EC"/>
  <w16cid:commentId w16cid:paraId="7102D459" w16cid:durableId="7102D459"/>
  <w16cid:commentId w16cid:paraId="4CBD3A83" w16cid:durableId="3EE9806A"/>
  <w16cid:commentId w16cid:paraId="3ABEF6CD" w16cid:durableId="76ADA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CB84F" w14:textId="77777777" w:rsidR="00135878" w:rsidRDefault="00135878" w:rsidP="0046631F">
      <w:pPr>
        <w:spacing w:after="0" w:line="240" w:lineRule="auto"/>
      </w:pPr>
      <w:r>
        <w:separator/>
      </w:r>
    </w:p>
  </w:endnote>
  <w:endnote w:type="continuationSeparator" w:id="0">
    <w:p w14:paraId="53EDA156" w14:textId="77777777" w:rsidR="00135878" w:rsidRDefault="00135878" w:rsidP="0046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849098"/>
      <w:docPartObj>
        <w:docPartGallery w:val="Page Numbers (Bottom of Page)"/>
        <w:docPartUnique/>
      </w:docPartObj>
    </w:sdtPr>
    <w:sdtEndPr/>
    <w:sdtContent>
      <w:p w14:paraId="3159DC79" w14:textId="77777777" w:rsidR="0046631F" w:rsidRDefault="0046631F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A94C20" wp14:editId="5EDA2E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FA43B" w14:textId="49E52B76" w:rsidR="0046631F" w:rsidRPr="0046631F" w:rsidRDefault="0046631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46631F">
                                <w:fldChar w:fldCharType="begin"/>
                              </w:r>
                              <w:r w:rsidRPr="0046631F">
                                <w:instrText>PAGE   \* MERGEFORMAT</w:instrText>
                              </w:r>
                              <w:r w:rsidRPr="0046631F">
                                <w:fldChar w:fldCharType="separate"/>
                              </w:r>
                              <w:r w:rsidR="00591032">
                                <w:rPr>
                                  <w:noProof/>
                                </w:rPr>
                                <w:t>1</w:t>
                              </w:r>
                              <w:r w:rsidRPr="0046631F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9A94C20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733FA43B" w14:textId="49E52B76" w:rsidR="0046631F" w:rsidRPr="0046631F" w:rsidRDefault="0046631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46631F">
                          <w:fldChar w:fldCharType="begin"/>
                        </w:r>
                        <w:r w:rsidRPr="0046631F">
                          <w:instrText>PAGE   \* MERGEFORMAT</w:instrText>
                        </w:r>
                        <w:r w:rsidRPr="0046631F">
                          <w:fldChar w:fldCharType="separate"/>
                        </w:r>
                        <w:r w:rsidR="00591032">
                          <w:rPr>
                            <w:noProof/>
                          </w:rPr>
                          <w:t>1</w:t>
                        </w:r>
                        <w:r w:rsidRPr="0046631F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A7DB3" w14:textId="77777777" w:rsidR="00135878" w:rsidRDefault="00135878" w:rsidP="0046631F">
      <w:pPr>
        <w:spacing w:after="0" w:line="240" w:lineRule="auto"/>
      </w:pPr>
      <w:r>
        <w:separator/>
      </w:r>
    </w:p>
  </w:footnote>
  <w:footnote w:type="continuationSeparator" w:id="0">
    <w:p w14:paraId="55E52325" w14:textId="77777777" w:rsidR="00135878" w:rsidRDefault="00135878" w:rsidP="0046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51E"/>
    <w:multiLevelType w:val="hybridMultilevel"/>
    <w:tmpl w:val="2ECA432E"/>
    <w:lvl w:ilvl="0" w:tplc="50785A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A966D6"/>
    <w:multiLevelType w:val="hybridMultilevel"/>
    <w:tmpl w:val="747E7E28"/>
    <w:lvl w:ilvl="0" w:tplc="A37AFD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41E27"/>
    <w:multiLevelType w:val="hybridMultilevel"/>
    <w:tmpl w:val="717C1608"/>
    <w:lvl w:ilvl="0" w:tplc="9C6208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1E"/>
    <w:rsid w:val="0000154C"/>
    <w:rsid w:val="00006AE4"/>
    <w:rsid w:val="00010C1A"/>
    <w:rsid w:val="0001116B"/>
    <w:rsid w:val="00011EEE"/>
    <w:rsid w:val="00014376"/>
    <w:rsid w:val="0001587E"/>
    <w:rsid w:val="00016AF5"/>
    <w:rsid w:val="00017CFD"/>
    <w:rsid w:val="0002351D"/>
    <w:rsid w:val="00027BAD"/>
    <w:rsid w:val="00032BC4"/>
    <w:rsid w:val="00036343"/>
    <w:rsid w:val="0004799F"/>
    <w:rsid w:val="00055CBB"/>
    <w:rsid w:val="00070546"/>
    <w:rsid w:val="00073BA5"/>
    <w:rsid w:val="00087A99"/>
    <w:rsid w:val="00090D1F"/>
    <w:rsid w:val="00093863"/>
    <w:rsid w:val="000953DA"/>
    <w:rsid w:val="000973FE"/>
    <w:rsid w:val="000A1BB2"/>
    <w:rsid w:val="000A2F05"/>
    <w:rsid w:val="000A7EC1"/>
    <w:rsid w:val="000B50C3"/>
    <w:rsid w:val="000B6A80"/>
    <w:rsid w:val="000C308C"/>
    <w:rsid w:val="000E0935"/>
    <w:rsid w:val="000E1506"/>
    <w:rsid w:val="000E31CD"/>
    <w:rsid w:val="000E457A"/>
    <w:rsid w:val="000E527F"/>
    <w:rsid w:val="000F1620"/>
    <w:rsid w:val="000F47DB"/>
    <w:rsid w:val="000F6EDB"/>
    <w:rsid w:val="00101D54"/>
    <w:rsid w:val="00105510"/>
    <w:rsid w:val="001069CC"/>
    <w:rsid w:val="00114CF9"/>
    <w:rsid w:val="00116484"/>
    <w:rsid w:val="00121BB4"/>
    <w:rsid w:val="001224AD"/>
    <w:rsid w:val="0012364A"/>
    <w:rsid w:val="0012523F"/>
    <w:rsid w:val="001274F8"/>
    <w:rsid w:val="001305B3"/>
    <w:rsid w:val="0013291B"/>
    <w:rsid w:val="00134B83"/>
    <w:rsid w:val="00135878"/>
    <w:rsid w:val="00135D5C"/>
    <w:rsid w:val="0014036E"/>
    <w:rsid w:val="00140658"/>
    <w:rsid w:val="001416F6"/>
    <w:rsid w:val="001469DA"/>
    <w:rsid w:val="001524AF"/>
    <w:rsid w:val="00152C7B"/>
    <w:rsid w:val="00153637"/>
    <w:rsid w:val="001569D2"/>
    <w:rsid w:val="00161C4C"/>
    <w:rsid w:val="00164992"/>
    <w:rsid w:val="00166665"/>
    <w:rsid w:val="00170D83"/>
    <w:rsid w:val="001769F8"/>
    <w:rsid w:val="0017755B"/>
    <w:rsid w:val="001801B8"/>
    <w:rsid w:val="00180B54"/>
    <w:rsid w:val="00182012"/>
    <w:rsid w:val="00190FBF"/>
    <w:rsid w:val="0019471E"/>
    <w:rsid w:val="00197D21"/>
    <w:rsid w:val="001A312B"/>
    <w:rsid w:val="001A4E29"/>
    <w:rsid w:val="001A597B"/>
    <w:rsid w:val="001A656D"/>
    <w:rsid w:val="001B202F"/>
    <w:rsid w:val="001B77F4"/>
    <w:rsid w:val="001C0C8C"/>
    <w:rsid w:val="001C13F5"/>
    <w:rsid w:val="001C1E4C"/>
    <w:rsid w:val="001D472E"/>
    <w:rsid w:val="001D5AAD"/>
    <w:rsid w:val="001F1259"/>
    <w:rsid w:val="001F4B2D"/>
    <w:rsid w:val="00200684"/>
    <w:rsid w:val="00203063"/>
    <w:rsid w:val="002129AE"/>
    <w:rsid w:val="00213A8F"/>
    <w:rsid w:val="00221C0B"/>
    <w:rsid w:val="00222F19"/>
    <w:rsid w:val="0025234B"/>
    <w:rsid w:val="00255CED"/>
    <w:rsid w:val="0026126A"/>
    <w:rsid w:val="002620CA"/>
    <w:rsid w:val="0026520A"/>
    <w:rsid w:val="0026524A"/>
    <w:rsid w:val="00266BAE"/>
    <w:rsid w:val="0027245B"/>
    <w:rsid w:val="00273432"/>
    <w:rsid w:val="00274FBD"/>
    <w:rsid w:val="00285C67"/>
    <w:rsid w:val="00285F2C"/>
    <w:rsid w:val="00292F7C"/>
    <w:rsid w:val="002934FF"/>
    <w:rsid w:val="00294EB0"/>
    <w:rsid w:val="002A17AA"/>
    <w:rsid w:val="002A2B3B"/>
    <w:rsid w:val="002A366A"/>
    <w:rsid w:val="002A4DCE"/>
    <w:rsid w:val="002A6071"/>
    <w:rsid w:val="002A62F9"/>
    <w:rsid w:val="002B763D"/>
    <w:rsid w:val="002C4C10"/>
    <w:rsid w:val="002C4EE3"/>
    <w:rsid w:val="002C711E"/>
    <w:rsid w:val="002D1327"/>
    <w:rsid w:val="002D52A5"/>
    <w:rsid w:val="002D53D9"/>
    <w:rsid w:val="002D5FCA"/>
    <w:rsid w:val="002E2463"/>
    <w:rsid w:val="002E2D18"/>
    <w:rsid w:val="002E2E85"/>
    <w:rsid w:val="002E5119"/>
    <w:rsid w:val="002E7320"/>
    <w:rsid w:val="002E7D93"/>
    <w:rsid w:val="002F055A"/>
    <w:rsid w:val="002F589F"/>
    <w:rsid w:val="00300539"/>
    <w:rsid w:val="00304013"/>
    <w:rsid w:val="00310837"/>
    <w:rsid w:val="00312135"/>
    <w:rsid w:val="003150FE"/>
    <w:rsid w:val="00317217"/>
    <w:rsid w:val="00323594"/>
    <w:rsid w:val="0032688F"/>
    <w:rsid w:val="0032763B"/>
    <w:rsid w:val="003359BA"/>
    <w:rsid w:val="00337386"/>
    <w:rsid w:val="00343B73"/>
    <w:rsid w:val="003519A0"/>
    <w:rsid w:val="003744A8"/>
    <w:rsid w:val="00385C0F"/>
    <w:rsid w:val="0038695B"/>
    <w:rsid w:val="00386B86"/>
    <w:rsid w:val="0038711D"/>
    <w:rsid w:val="00390045"/>
    <w:rsid w:val="0039689E"/>
    <w:rsid w:val="00396D48"/>
    <w:rsid w:val="003A1469"/>
    <w:rsid w:val="003B2298"/>
    <w:rsid w:val="003C1966"/>
    <w:rsid w:val="003C3319"/>
    <w:rsid w:val="003D1D64"/>
    <w:rsid w:val="003D7FC5"/>
    <w:rsid w:val="003E186E"/>
    <w:rsid w:val="003E1F8C"/>
    <w:rsid w:val="003E213D"/>
    <w:rsid w:val="003E6307"/>
    <w:rsid w:val="003E650D"/>
    <w:rsid w:val="003E735E"/>
    <w:rsid w:val="003F0996"/>
    <w:rsid w:val="003F1228"/>
    <w:rsid w:val="00402E7B"/>
    <w:rsid w:val="00405223"/>
    <w:rsid w:val="00406EEB"/>
    <w:rsid w:val="00407C72"/>
    <w:rsid w:val="00410C5F"/>
    <w:rsid w:val="004121A5"/>
    <w:rsid w:val="00414ED0"/>
    <w:rsid w:val="004154DB"/>
    <w:rsid w:val="004203D7"/>
    <w:rsid w:val="00424942"/>
    <w:rsid w:val="004254E5"/>
    <w:rsid w:val="00426D9B"/>
    <w:rsid w:val="00430015"/>
    <w:rsid w:val="00433633"/>
    <w:rsid w:val="00435BDD"/>
    <w:rsid w:val="00437A4D"/>
    <w:rsid w:val="00443F03"/>
    <w:rsid w:val="00451405"/>
    <w:rsid w:val="00451DA9"/>
    <w:rsid w:val="004524DE"/>
    <w:rsid w:val="00454469"/>
    <w:rsid w:val="00454EAF"/>
    <w:rsid w:val="004561CE"/>
    <w:rsid w:val="0046631F"/>
    <w:rsid w:val="00466626"/>
    <w:rsid w:val="00475233"/>
    <w:rsid w:val="00477560"/>
    <w:rsid w:val="00482726"/>
    <w:rsid w:val="00482AA4"/>
    <w:rsid w:val="004912BF"/>
    <w:rsid w:val="0049393E"/>
    <w:rsid w:val="004964F2"/>
    <w:rsid w:val="004A1192"/>
    <w:rsid w:val="004A6398"/>
    <w:rsid w:val="004A650B"/>
    <w:rsid w:val="004A731D"/>
    <w:rsid w:val="004A7DF3"/>
    <w:rsid w:val="004B06C3"/>
    <w:rsid w:val="004B13C2"/>
    <w:rsid w:val="004B6B86"/>
    <w:rsid w:val="004B7E43"/>
    <w:rsid w:val="004C138D"/>
    <w:rsid w:val="004C4B54"/>
    <w:rsid w:val="004C7CDE"/>
    <w:rsid w:val="004C7E5F"/>
    <w:rsid w:val="004D0A63"/>
    <w:rsid w:val="004E4B04"/>
    <w:rsid w:val="004E4EF1"/>
    <w:rsid w:val="004F4DE7"/>
    <w:rsid w:val="004F5E31"/>
    <w:rsid w:val="00500B81"/>
    <w:rsid w:val="00500D46"/>
    <w:rsid w:val="0050170B"/>
    <w:rsid w:val="00502F34"/>
    <w:rsid w:val="00505877"/>
    <w:rsid w:val="005067F9"/>
    <w:rsid w:val="00506DAF"/>
    <w:rsid w:val="00516787"/>
    <w:rsid w:val="00517160"/>
    <w:rsid w:val="00524D64"/>
    <w:rsid w:val="0052651E"/>
    <w:rsid w:val="005374CB"/>
    <w:rsid w:val="00542072"/>
    <w:rsid w:val="005459A4"/>
    <w:rsid w:val="005527BA"/>
    <w:rsid w:val="00554E41"/>
    <w:rsid w:val="00555898"/>
    <w:rsid w:val="005610C5"/>
    <w:rsid w:val="00563DDE"/>
    <w:rsid w:val="00564D74"/>
    <w:rsid w:val="00565AD0"/>
    <w:rsid w:val="00571B6D"/>
    <w:rsid w:val="00573E52"/>
    <w:rsid w:val="005772DD"/>
    <w:rsid w:val="005805AA"/>
    <w:rsid w:val="00580895"/>
    <w:rsid w:val="00583212"/>
    <w:rsid w:val="00585273"/>
    <w:rsid w:val="00591032"/>
    <w:rsid w:val="005926F7"/>
    <w:rsid w:val="00594DD7"/>
    <w:rsid w:val="00597514"/>
    <w:rsid w:val="005A0117"/>
    <w:rsid w:val="005A0195"/>
    <w:rsid w:val="005A2010"/>
    <w:rsid w:val="005A2135"/>
    <w:rsid w:val="005A50A6"/>
    <w:rsid w:val="005A73B9"/>
    <w:rsid w:val="005B2574"/>
    <w:rsid w:val="005B2CD9"/>
    <w:rsid w:val="005B2D72"/>
    <w:rsid w:val="005C5B1C"/>
    <w:rsid w:val="005C70ED"/>
    <w:rsid w:val="005D035D"/>
    <w:rsid w:val="005D2019"/>
    <w:rsid w:val="005D49B8"/>
    <w:rsid w:val="005E0999"/>
    <w:rsid w:val="005E2E7C"/>
    <w:rsid w:val="005E4014"/>
    <w:rsid w:val="005E525F"/>
    <w:rsid w:val="005E750E"/>
    <w:rsid w:val="005F0B08"/>
    <w:rsid w:val="005F4704"/>
    <w:rsid w:val="005F62C6"/>
    <w:rsid w:val="005F78A5"/>
    <w:rsid w:val="00600FF9"/>
    <w:rsid w:val="006048BA"/>
    <w:rsid w:val="00611A23"/>
    <w:rsid w:val="0061458F"/>
    <w:rsid w:val="006157F7"/>
    <w:rsid w:val="00620BAE"/>
    <w:rsid w:val="00626111"/>
    <w:rsid w:val="00633AF8"/>
    <w:rsid w:val="00642722"/>
    <w:rsid w:val="00644873"/>
    <w:rsid w:val="0064550D"/>
    <w:rsid w:val="00651665"/>
    <w:rsid w:val="006524AB"/>
    <w:rsid w:val="00652645"/>
    <w:rsid w:val="00653BA3"/>
    <w:rsid w:val="00661F9B"/>
    <w:rsid w:val="006654C5"/>
    <w:rsid w:val="006658D2"/>
    <w:rsid w:val="00673B75"/>
    <w:rsid w:val="006773EB"/>
    <w:rsid w:val="00683000"/>
    <w:rsid w:val="006959A7"/>
    <w:rsid w:val="00695A46"/>
    <w:rsid w:val="006A06E5"/>
    <w:rsid w:val="006A0D41"/>
    <w:rsid w:val="006A4E4B"/>
    <w:rsid w:val="006A4EBC"/>
    <w:rsid w:val="006B09B9"/>
    <w:rsid w:val="006B1B59"/>
    <w:rsid w:val="006B3DA9"/>
    <w:rsid w:val="006C2C1B"/>
    <w:rsid w:val="006C5316"/>
    <w:rsid w:val="006E4B2E"/>
    <w:rsid w:val="006F14E1"/>
    <w:rsid w:val="006F2F2E"/>
    <w:rsid w:val="006F47A3"/>
    <w:rsid w:val="006F5680"/>
    <w:rsid w:val="00712450"/>
    <w:rsid w:val="00716734"/>
    <w:rsid w:val="0072249D"/>
    <w:rsid w:val="00727513"/>
    <w:rsid w:val="00732278"/>
    <w:rsid w:val="007479E3"/>
    <w:rsid w:val="007523EA"/>
    <w:rsid w:val="00753EDB"/>
    <w:rsid w:val="00757EDA"/>
    <w:rsid w:val="00766D05"/>
    <w:rsid w:val="00767F05"/>
    <w:rsid w:val="00774628"/>
    <w:rsid w:val="0078377B"/>
    <w:rsid w:val="00783FF9"/>
    <w:rsid w:val="00784481"/>
    <w:rsid w:val="00785161"/>
    <w:rsid w:val="00785CD3"/>
    <w:rsid w:val="0078609C"/>
    <w:rsid w:val="007870A9"/>
    <w:rsid w:val="0078710B"/>
    <w:rsid w:val="00794BC7"/>
    <w:rsid w:val="007954A5"/>
    <w:rsid w:val="007973D5"/>
    <w:rsid w:val="007A3785"/>
    <w:rsid w:val="007A3F7C"/>
    <w:rsid w:val="007A57AD"/>
    <w:rsid w:val="007A6936"/>
    <w:rsid w:val="007B102E"/>
    <w:rsid w:val="007B3B19"/>
    <w:rsid w:val="007B793C"/>
    <w:rsid w:val="007C7030"/>
    <w:rsid w:val="007D534B"/>
    <w:rsid w:val="007D77C6"/>
    <w:rsid w:val="007E26CD"/>
    <w:rsid w:val="007E2E6D"/>
    <w:rsid w:val="007E758D"/>
    <w:rsid w:val="007F06A7"/>
    <w:rsid w:val="007F60D6"/>
    <w:rsid w:val="00804C1C"/>
    <w:rsid w:val="00804FD3"/>
    <w:rsid w:val="00805B4F"/>
    <w:rsid w:val="008157EF"/>
    <w:rsid w:val="00827DCA"/>
    <w:rsid w:val="00831C95"/>
    <w:rsid w:val="0083453C"/>
    <w:rsid w:val="00834639"/>
    <w:rsid w:val="008371A9"/>
    <w:rsid w:val="00847F4A"/>
    <w:rsid w:val="00851CDA"/>
    <w:rsid w:val="00852F46"/>
    <w:rsid w:val="008619A7"/>
    <w:rsid w:val="0086388F"/>
    <w:rsid w:val="00865AD0"/>
    <w:rsid w:val="00880425"/>
    <w:rsid w:val="0088126C"/>
    <w:rsid w:val="00881BC5"/>
    <w:rsid w:val="00887588"/>
    <w:rsid w:val="00887736"/>
    <w:rsid w:val="008922BE"/>
    <w:rsid w:val="00893C14"/>
    <w:rsid w:val="00897028"/>
    <w:rsid w:val="008A033A"/>
    <w:rsid w:val="008A0F4B"/>
    <w:rsid w:val="008A5552"/>
    <w:rsid w:val="008B0329"/>
    <w:rsid w:val="008B2FAC"/>
    <w:rsid w:val="008B74D2"/>
    <w:rsid w:val="008C3A54"/>
    <w:rsid w:val="008D32F8"/>
    <w:rsid w:val="008D4FDC"/>
    <w:rsid w:val="008E578F"/>
    <w:rsid w:val="008F35FF"/>
    <w:rsid w:val="008F4109"/>
    <w:rsid w:val="008F54FE"/>
    <w:rsid w:val="008F7CF4"/>
    <w:rsid w:val="009015A8"/>
    <w:rsid w:val="009029BB"/>
    <w:rsid w:val="00911023"/>
    <w:rsid w:val="00920195"/>
    <w:rsid w:val="009207CF"/>
    <w:rsid w:val="009209B8"/>
    <w:rsid w:val="00925422"/>
    <w:rsid w:val="00930E1B"/>
    <w:rsid w:val="009326A4"/>
    <w:rsid w:val="00936B26"/>
    <w:rsid w:val="00937E42"/>
    <w:rsid w:val="00942155"/>
    <w:rsid w:val="00942591"/>
    <w:rsid w:val="0094420C"/>
    <w:rsid w:val="0094447B"/>
    <w:rsid w:val="0094484C"/>
    <w:rsid w:val="00945999"/>
    <w:rsid w:val="00951054"/>
    <w:rsid w:val="00954584"/>
    <w:rsid w:val="0095742C"/>
    <w:rsid w:val="00961B15"/>
    <w:rsid w:val="009722C7"/>
    <w:rsid w:val="009837C3"/>
    <w:rsid w:val="00984E58"/>
    <w:rsid w:val="009936FA"/>
    <w:rsid w:val="009950E4"/>
    <w:rsid w:val="00996E84"/>
    <w:rsid w:val="009A09C3"/>
    <w:rsid w:val="009A2BC1"/>
    <w:rsid w:val="009A495A"/>
    <w:rsid w:val="009A5DD9"/>
    <w:rsid w:val="009B4850"/>
    <w:rsid w:val="009C2160"/>
    <w:rsid w:val="009D3409"/>
    <w:rsid w:val="009D635C"/>
    <w:rsid w:val="009D7121"/>
    <w:rsid w:val="009E42C6"/>
    <w:rsid w:val="009F65EE"/>
    <w:rsid w:val="009F705E"/>
    <w:rsid w:val="00A05638"/>
    <w:rsid w:val="00A12B34"/>
    <w:rsid w:val="00A200BF"/>
    <w:rsid w:val="00A210A5"/>
    <w:rsid w:val="00A2180E"/>
    <w:rsid w:val="00A24EF7"/>
    <w:rsid w:val="00A27959"/>
    <w:rsid w:val="00A300E8"/>
    <w:rsid w:val="00A31887"/>
    <w:rsid w:val="00A3376F"/>
    <w:rsid w:val="00A37F67"/>
    <w:rsid w:val="00A42B1A"/>
    <w:rsid w:val="00A43634"/>
    <w:rsid w:val="00A45E28"/>
    <w:rsid w:val="00A538DC"/>
    <w:rsid w:val="00A56CCC"/>
    <w:rsid w:val="00A60CE2"/>
    <w:rsid w:val="00A615EB"/>
    <w:rsid w:val="00A635E8"/>
    <w:rsid w:val="00A63766"/>
    <w:rsid w:val="00A71154"/>
    <w:rsid w:val="00A73356"/>
    <w:rsid w:val="00A74255"/>
    <w:rsid w:val="00A758D0"/>
    <w:rsid w:val="00A86922"/>
    <w:rsid w:val="00A907E9"/>
    <w:rsid w:val="00A90DB4"/>
    <w:rsid w:val="00AA1273"/>
    <w:rsid w:val="00AA3A6E"/>
    <w:rsid w:val="00AB0243"/>
    <w:rsid w:val="00AB03F0"/>
    <w:rsid w:val="00AB13EF"/>
    <w:rsid w:val="00AB32B1"/>
    <w:rsid w:val="00AB70C8"/>
    <w:rsid w:val="00AC3B71"/>
    <w:rsid w:val="00AC4CA1"/>
    <w:rsid w:val="00AC4EF0"/>
    <w:rsid w:val="00AD26C9"/>
    <w:rsid w:val="00AD295D"/>
    <w:rsid w:val="00AD3857"/>
    <w:rsid w:val="00AD4C25"/>
    <w:rsid w:val="00AD4E79"/>
    <w:rsid w:val="00AD7845"/>
    <w:rsid w:val="00AE5C5E"/>
    <w:rsid w:val="00AF1D24"/>
    <w:rsid w:val="00B00F57"/>
    <w:rsid w:val="00B01102"/>
    <w:rsid w:val="00B02CA8"/>
    <w:rsid w:val="00B0570D"/>
    <w:rsid w:val="00B11980"/>
    <w:rsid w:val="00B1378D"/>
    <w:rsid w:val="00B15F4F"/>
    <w:rsid w:val="00B20FA5"/>
    <w:rsid w:val="00B228A9"/>
    <w:rsid w:val="00B359A4"/>
    <w:rsid w:val="00B36142"/>
    <w:rsid w:val="00B40F37"/>
    <w:rsid w:val="00B42914"/>
    <w:rsid w:val="00B470F2"/>
    <w:rsid w:val="00B473B6"/>
    <w:rsid w:val="00B5189C"/>
    <w:rsid w:val="00B60960"/>
    <w:rsid w:val="00B638C4"/>
    <w:rsid w:val="00B702D4"/>
    <w:rsid w:val="00B7196E"/>
    <w:rsid w:val="00B71A4C"/>
    <w:rsid w:val="00B723E6"/>
    <w:rsid w:val="00B7644E"/>
    <w:rsid w:val="00B86955"/>
    <w:rsid w:val="00B9199E"/>
    <w:rsid w:val="00B96D8B"/>
    <w:rsid w:val="00BA56F8"/>
    <w:rsid w:val="00BA5B36"/>
    <w:rsid w:val="00BB2B89"/>
    <w:rsid w:val="00BC031B"/>
    <w:rsid w:val="00BC0590"/>
    <w:rsid w:val="00BC15CD"/>
    <w:rsid w:val="00BC2CFC"/>
    <w:rsid w:val="00BC78C2"/>
    <w:rsid w:val="00BD3143"/>
    <w:rsid w:val="00BD526B"/>
    <w:rsid w:val="00BE787E"/>
    <w:rsid w:val="00BE7DCE"/>
    <w:rsid w:val="00BF044C"/>
    <w:rsid w:val="00BF61CF"/>
    <w:rsid w:val="00C01246"/>
    <w:rsid w:val="00C04FD8"/>
    <w:rsid w:val="00C063D4"/>
    <w:rsid w:val="00C0796C"/>
    <w:rsid w:val="00C179C4"/>
    <w:rsid w:val="00C2496D"/>
    <w:rsid w:val="00C30E6C"/>
    <w:rsid w:val="00C32E89"/>
    <w:rsid w:val="00C3686E"/>
    <w:rsid w:val="00C36DAE"/>
    <w:rsid w:val="00C47281"/>
    <w:rsid w:val="00C47FE1"/>
    <w:rsid w:val="00C57624"/>
    <w:rsid w:val="00C650EE"/>
    <w:rsid w:val="00C73AE4"/>
    <w:rsid w:val="00C764CA"/>
    <w:rsid w:val="00C84AF7"/>
    <w:rsid w:val="00C957E3"/>
    <w:rsid w:val="00CA4E5C"/>
    <w:rsid w:val="00CA7245"/>
    <w:rsid w:val="00CB15BB"/>
    <w:rsid w:val="00CB6571"/>
    <w:rsid w:val="00CC5E3D"/>
    <w:rsid w:val="00CD7294"/>
    <w:rsid w:val="00CE2CF1"/>
    <w:rsid w:val="00CE4161"/>
    <w:rsid w:val="00D02F3B"/>
    <w:rsid w:val="00D151C1"/>
    <w:rsid w:val="00D164BB"/>
    <w:rsid w:val="00D25C93"/>
    <w:rsid w:val="00D262C1"/>
    <w:rsid w:val="00D32F75"/>
    <w:rsid w:val="00D415CF"/>
    <w:rsid w:val="00D44355"/>
    <w:rsid w:val="00D50033"/>
    <w:rsid w:val="00D52C9B"/>
    <w:rsid w:val="00D548DE"/>
    <w:rsid w:val="00D575B4"/>
    <w:rsid w:val="00D62B97"/>
    <w:rsid w:val="00D656C1"/>
    <w:rsid w:val="00D658E7"/>
    <w:rsid w:val="00D734EF"/>
    <w:rsid w:val="00D73A55"/>
    <w:rsid w:val="00D838B9"/>
    <w:rsid w:val="00D84DB9"/>
    <w:rsid w:val="00D90229"/>
    <w:rsid w:val="00D91412"/>
    <w:rsid w:val="00D9246D"/>
    <w:rsid w:val="00D92E57"/>
    <w:rsid w:val="00DA7683"/>
    <w:rsid w:val="00DC5D72"/>
    <w:rsid w:val="00DD38DF"/>
    <w:rsid w:val="00DE38E2"/>
    <w:rsid w:val="00DE7F50"/>
    <w:rsid w:val="00DF137E"/>
    <w:rsid w:val="00DF325F"/>
    <w:rsid w:val="00DF77C3"/>
    <w:rsid w:val="00E012D1"/>
    <w:rsid w:val="00E02F8C"/>
    <w:rsid w:val="00E04171"/>
    <w:rsid w:val="00E0589E"/>
    <w:rsid w:val="00E06FC9"/>
    <w:rsid w:val="00E12F6A"/>
    <w:rsid w:val="00E21652"/>
    <w:rsid w:val="00E22B49"/>
    <w:rsid w:val="00E26E2D"/>
    <w:rsid w:val="00E271D6"/>
    <w:rsid w:val="00E275D0"/>
    <w:rsid w:val="00E27C06"/>
    <w:rsid w:val="00E31959"/>
    <w:rsid w:val="00E327C9"/>
    <w:rsid w:val="00E34D1D"/>
    <w:rsid w:val="00E414D8"/>
    <w:rsid w:val="00E4279C"/>
    <w:rsid w:val="00E42972"/>
    <w:rsid w:val="00E45A7A"/>
    <w:rsid w:val="00E5006B"/>
    <w:rsid w:val="00E547B9"/>
    <w:rsid w:val="00E571CD"/>
    <w:rsid w:val="00E57265"/>
    <w:rsid w:val="00E62CE0"/>
    <w:rsid w:val="00E6679B"/>
    <w:rsid w:val="00E66CB6"/>
    <w:rsid w:val="00E70F20"/>
    <w:rsid w:val="00E743A1"/>
    <w:rsid w:val="00E7559D"/>
    <w:rsid w:val="00E76FBB"/>
    <w:rsid w:val="00E77190"/>
    <w:rsid w:val="00E804FE"/>
    <w:rsid w:val="00E90250"/>
    <w:rsid w:val="00E92C53"/>
    <w:rsid w:val="00E936E9"/>
    <w:rsid w:val="00E95327"/>
    <w:rsid w:val="00E95696"/>
    <w:rsid w:val="00EA6F4B"/>
    <w:rsid w:val="00EB40CC"/>
    <w:rsid w:val="00EC0124"/>
    <w:rsid w:val="00EC1456"/>
    <w:rsid w:val="00EC41D0"/>
    <w:rsid w:val="00EC6793"/>
    <w:rsid w:val="00ED1127"/>
    <w:rsid w:val="00ED5F61"/>
    <w:rsid w:val="00EF2E97"/>
    <w:rsid w:val="00EF3A5E"/>
    <w:rsid w:val="00F003A1"/>
    <w:rsid w:val="00F02C65"/>
    <w:rsid w:val="00F1023E"/>
    <w:rsid w:val="00F10FB6"/>
    <w:rsid w:val="00F123FE"/>
    <w:rsid w:val="00F12669"/>
    <w:rsid w:val="00F143A6"/>
    <w:rsid w:val="00F148AE"/>
    <w:rsid w:val="00F14ED7"/>
    <w:rsid w:val="00F15F65"/>
    <w:rsid w:val="00F173BF"/>
    <w:rsid w:val="00F2227A"/>
    <w:rsid w:val="00F24B8C"/>
    <w:rsid w:val="00F26B8D"/>
    <w:rsid w:val="00F27C3A"/>
    <w:rsid w:val="00F32B75"/>
    <w:rsid w:val="00F34FDD"/>
    <w:rsid w:val="00F3749E"/>
    <w:rsid w:val="00F37F99"/>
    <w:rsid w:val="00F426D4"/>
    <w:rsid w:val="00F45999"/>
    <w:rsid w:val="00F45A5E"/>
    <w:rsid w:val="00F504ED"/>
    <w:rsid w:val="00F51110"/>
    <w:rsid w:val="00F577BE"/>
    <w:rsid w:val="00F64C8A"/>
    <w:rsid w:val="00F73E42"/>
    <w:rsid w:val="00F74CB4"/>
    <w:rsid w:val="00F81ECB"/>
    <w:rsid w:val="00F83B56"/>
    <w:rsid w:val="00F859C9"/>
    <w:rsid w:val="00F863B1"/>
    <w:rsid w:val="00F86D37"/>
    <w:rsid w:val="00F92E6F"/>
    <w:rsid w:val="00F93106"/>
    <w:rsid w:val="00F9426E"/>
    <w:rsid w:val="00FA09AA"/>
    <w:rsid w:val="00FA102A"/>
    <w:rsid w:val="00FA12EF"/>
    <w:rsid w:val="00FA136E"/>
    <w:rsid w:val="00FB1DFA"/>
    <w:rsid w:val="00FB26E7"/>
    <w:rsid w:val="00FC23C5"/>
    <w:rsid w:val="00FC6A37"/>
    <w:rsid w:val="00FD35A8"/>
    <w:rsid w:val="00FD4447"/>
    <w:rsid w:val="00FD5DE0"/>
    <w:rsid w:val="00FE2282"/>
    <w:rsid w:val="00FE6479"/>
    <w:rsid w:val="00FF0015"/>
    <w:rsid w:val="00FF1829"/>
    <w:rsid w:val="00FF5EB2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F4DB5"/>
  <w15:chartTrackingRefBased/>
  <w15:docId w15:val="{1C088C59-A42D-4CFB-BA3D-C9E123C3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51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5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5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51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0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F"/>
  </w:style>
  <w:style w:type="paragraph" w:styleId="Footer">
    <w:name w:val="footer"/>
    <w:basedOn w:val="Normal"/>
    <w:link w:val="FooterChar"/>
    <w:uiPriority w:val="99"/>
    <w:unhideWhenUsed/>
    <w:rsid w:val="0046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F"/>
  </w:style>
  <w:style w:type="paragraph" w:styleId="Revision">
    <w:name w:val="Revision"/>
    <w:hidden/>
    <w:uiPriority w:val="99"/>
    <w:semiHidden/>
    <w:rsid w:val="008D4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E95F-58C2-4BBC-9496-C4D6D536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2343</Words>
  <Characters>13357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mora, prometa i infrastrukture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Morduš</dc:creator>
  <cp:keywords/>
  <dc:description/>
  <cp:lastModifiedBy>Suzana Nakić</cp:lastModifiedBy>
  <cp:revision>50</cp:revision>
  <cp:lastPrinted>2024-05-21T09:18:00Z</cp:lastPrinted>
  <dcterms:created xsi:type="dcterms:W3CDTF">2026-05-21T13:52:00Z</dcterms:created>
  <dcterms:modified xsi:type="dcterms:W3CDTF">2026-05-22T11:44:00Z</dcterms:modified>
</cp:coreProperties>
</file>